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6CE8E" w14:textId="6F366D32" w:rsidR="00452484" w:rsidRPr="00DB2D1C" w:rsidRDefault="00241B43" w:rsidP="000A5D00">
      <w:pPr>
        <w:pStyle w:val="Balk1"/>
      </w:pPr>
      <w:bookmarkStart w:id="0" w:name="_Toc87885367"/>
      <w:r>
        <w:t xml:space="preserve">AMAÇ VE </w:t>
      </w:r>
      <w:r w:rsidR="0099228A" w:rsidRPr="000A5D00">
        <w:t>KAPSAM</w:t>
      </w:r>
      <w:bookmarkEnd w:id="0"/>
    </w:p>
    <w:p w14:paraId="7FBC27FA" w14:textId="77777777" w:rsidR="00241B43" w:rsidRPr="00DB2D1C" w:rsidRDefault="00241B43" w:rsidP="00241B43">
      <w:pPr>
        <w:rPr>
          <w:rFonts w:cs="Times New Roman"/>
        </w:rPr>
      </w:pPr>
      <w:r w:rsidRPr="00DB2D1C">
        <w:rPr>
          <w:rFonts w:cs="Times New Roman"/>
        </w:rPr>
        <w:t xml:space="preserve">Bu prosedürün amacı kurumda üst yönetimin; </w:t>
      </w:r>
      <w:r>
        <w:rPr>
          <w:rFonts w:cs="Times New Roman"/>
        </w:rPr>
        <w:t>Entegre Yönetim Sistemi</w:t>
      </w:r>
      <w:r w:rsidRPr="00DB2D1C">
        <w:rPr>
          <w:rFonts w:cs="Times New Roman"/>
        </w:rPr>
        <w:t>ni</w:t>
      </w:r>
      <w:r>
        <w:rPr>
          <w:rFonts w:cs="Times New Roman"/>
        </w:rPr>
        <w:t xml:space="preserve"> (EYS)</w:t>
      </w:r>
      <w:r w:rsidRPr="00DB2D1C">
        <w:rPr>
          <w:rFonts w:cs="Times New Roman"/>
        </w:rPr>
        <w:t>, sürekli uygunluğunu, yeterliliğini ve etkinliğini sağlamak amacıyla periyodik olarak gözden geçirmesi, iyileştirme ve değişiklik ihtiyaçlarını belirlemesi ve uygulaması için adımların tanımlanmasıdır.</w:t>
      </w:r>
    </w:p>
    <w:p w14:paraId="5C1ED3FC" w14:textId="77777777" w:rsidR="00452484" w:rsidRPr="00DB2D1C" w:rsidRDefault="00984F7D">
      <w:pPr>
        <w:rPr>
          <w:rFonts w:cs="Times New Roman"/>
        </w:rPr>
      </w:pPr>
      <w:r w:rsidRPr="00DB2D1C">
        <w:rPr>
          <w:rFonts w:cs="Times New Roman"/>
        </w:rPr>
        <w:t>Kurum</w:t>
      </w:r>
      <w:r w:rsidR="0099228A" w:rsidRPr="00DB2D1C">
        <w:rPr>
          <w:rFonts w:cs="Times New Roman"/>
        </w:rPr>
        <w:t xml:space="preserve"> bünyesinde </w:t>
      </w:r>
      <w:r w:rsidR="00396A36">
        <w:rPr>
          <w:rFonts w:cs="Times New Roman"/>
        </w:rPr>
        <w:t>EYS</w:t>
      </w:r>
      <w:r w:rsidR="0099228A" w:rsidRPr="00DB2D1C">
        <w:rPr>
          <w:rFonts w:cs="Times New Roman"/>
        </w:rPr>
        <w:t xml:space="preserve"> kapsamında gerçekleştirilen tüm faaliyetler bu prosedür kapsamındadır.</w:t>
      </w:r>
    </w:p>
    <w:p w14:paraId="25B73F71" w14:textId="0185B361" w:rsidR="00452484" w:rsidRPr="00DB2D1C" w:rsidRDefault="0099228A" w:rsidP="000A5D00">
      <w:pPr>
        <w:pStyle w:val="Balk1"/>
      </w:pPr>
      <w:bookmarkStart w:id="1" w:name="_Toc87885368"/>
      <w:r w:rsidRPr="00DB2D1C">
        <w:t xml:space="preserve">TANIMLAR ve </w:t>
      </w:r>
      <w:r w:rsidRPr="000A5D00">
        <w:t>KISALTM</w:t>
      </w:r>
      <w:r w:rsidR="005360D3">
        <w:t>A</w:t>
      </w:r>
      <w:r w:rsidRPr="000A5D00">
        <w:t>LAR</w:t>
      </w:r>
      <w:bookmarkEnd w:id="1"/>
    </w:p>
    <w:p w14:paraId="0209A42D" w14:textId="77777777" w:rsidR="00452484" w:rsidRPr="00DB2D1C" w:rsidRDefault="0099228A">
      <w:pPr>
        <w:rPr>
          <w:rFonts w:cs="Times New Roman"/>
        </w:rPr>
      </w:pPr>
      <w:r w:rsidRPr="00DB2D1C">
        <w:rPr>
          <w:rFonts w:cs="Times New Roman"/>
        </w:rPr>
        <w:t>YGG: Yönetimin Gözden Geçirme Toplantısı</w:t>
      </w:r>
    </w:p>
    <w:p w14:paraId="46EC08D2" w14:textId="77777777" w:rsidR="00452484" w:rsidRPr="00DB2D1C" w:rsidRDefault="0099228A" w:rsidP="000A5D00">
      <w:pPr>
        <w:pStyle w:val="Balk1"/>
      </w:pPr>
      <w:bookmarkStart w:id="2" w:name="_Toc87885369"/>
      <w:r w:rsidRPr="000A5D00">
        <w:t>SORUMLULAR</w:t>
      </w:r>
      <w:bookmarkEnd w:id="2"/>
    </w:p>
    <w:p w14:paraId="681B3C27" w14:textId="5AC5AC26" w:rsidR="00452484" w:rsidRPr="00DB2D1C" w:rsidRDefault="0099228A">
      <w:pPr>
        <w:rPr>
          <w:rFonts w:cs="Times New Roman"/>
        </w:rPr>
      </w:pPr>
      <w:r w:rsidRPr="00DB2D1C">
        <w:rPr>
          <w:rFonts w:cs="Times New Roman"/>
        </w:rPr>
        <w:t>Bu prosedürün</w:t>
      </w:r>
      <w:r w:rsidR="00D20729">
        <w:rPr>
          <w:rFonts w:cs="Times New Roman"/>
        </w:rPr>
        <w:t xml:space="preserve"> </w:t>
      </w:r>
      <w:r w:rsidRPr="00DB2D1C">
        <w:rPr>
          <w:rFonts w:cs="Times New Roman"/>
        </w:rPr>
        <w:t xml:space="preserve">hazırlanmasından </w:t>
      </w:r>
      <w:r w:rsidR="00396A36">
        <w:rPr>
          <w:rFonts w:cs="Times New Roman"/>
        </w:rPr>
        <w:t>Kalite</w:t>
      </w:r>
      <w:r w:rsidR="00D20729">
        <w:rPr>
          <w:rFonts w:cs="Times New Roman"/>
        </w:rPr>
        <w:t xml:space="preserve">den sorumlu Rektör Yardımcısı </w:t>
      </w:r>
      <w:r w:rsidRPr="00DB2D1C">
        <w:rPr>
          <w:rFonts w:cs="Times New Roman"/>
        </w:rPr>
        <w:t xml:space="preserve">sorumludur. Detaylı sorumluluklar aşağıda verilmiştir. </w:t>
      </w:r>
    </w:p>
    <w:p w14:paraId="77DF892B" w14:textId="7A80E051" w:rsidR="00452484" w:rsidRPr="00DB2D1C" w:rsidRDefault="00396A36">
      <w:pPr>
        <w:pStyle w:val="Altyaz"/>
        <w:rPr>
          <w:rFonts w:cs="Times New Roman"/>
        </w:rPr>
      </w:pPr>
      <w:r>
        <w:rPr>
          <w:rFonts w:cs="Times New Roman"/>
        </w:rPr>
        <w:t>Kalite</w:t>
      </w:r>
      <w:r w:rsidR="00D20729">
        <w:rPr>
          <w:rFonts w:cs="Times New Roman"/>
        </w:rPr>
        <w:t>den Sorumlu Rektör Yardımcısı</w:t>
      </w:r>
    </w:p>
    <w:p w14:paraId="559E3121" w14:textId="77777777" w:rsidR="00452484" w:rsidRPr="00DB2D1C" w:rsidRDefault="009922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 w:rsidRPr="00DB2D1C">
        <w:rPr>
          <w:rFonts w:cs="Times New Roman"/>
          <w:color w:val="000000"/>
        </w:rPr>
        <w:t>Yönetim Gözden Geçirme toplantılarının yapılmasını sağlamak</w:t>
      </w:r>
    </w:p>
    <w:p w14:paraId="30CF983B" w14:textId="77777777" w:rsidR="00452484" w:rsidRPr="00DB2D1C" w:rsidRDefault="00396A36">
      <w:pPr>
        <w:pStyle w:val="Altyaz"/>
        <w:rPr>
          <w:rFonts w:cs="Times New Roman"/>
        </w:rPr>
      </w:pPr>
      <w:r>
        <w:rPr>
          <w:rFonts w:cs="Times New Roman"/>
        </w:rPr>
        <w:t xml:space="preserve">Strateji Geliştirme Daire Başkanlığı </w:t>
      </w:r>
    </w:p>
    <w:p w14:paraId="270FCFB9" w14:textId="48A88CBC" w:rsidR="00452484" w:rsidRPr="00DB2D1C" w:rsidRDefault="00396A3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>
        <w:rPr>
          <w:rFonts w:cs="Times New Roman"/>
          <w:color w:val="000000"/>
        </w:rPr>
        <w:t>Kalite</w:t>
      </w:r>
      <w:r w:rsidR="00D20729">
        <w:rPr>
          <w:rFonts w:cs="Times New Roman"/>
          <w:color w:val="000000"/>
        </w:rPr>
        <w:t>den sorumlu Rektör Yardımcısının</w:t>
      </w:r>
      <w:r>
        <w:rPr>
          <w:rFonts w:cs="Times New Roman"/>
          <w:color w:val="000000"/>
        </w:rPr>
        <w:t xml:space="preserve"> </w:t>
      </w:r>
      <w:r w:rsidR="0099228A" w:rsidRPr="00DB2D1C">
        <w:rPr>
          <w:rFonts w:cs="Times New Roman"/>
          <w:color w:val="000000"/>
        </w:rPr>
        <w:t>bilgisinde toplantı yeri ve saatinin katılımcılara</w:t>
      </w:r>
      <w:r w:rsidR="00E9298D">
        <w:rPr>
          <w:rFonts w:cs="Times New Roman"/>
          <w:color w:val="000000"/>
        </w:rPr>
        <w:t xml:space="preserve"> sözlü ya da yazılı</w:t>
      </w:r>
      <w:r w:rsidR="0099228A" w:rsidRPr="00DB2D1C">
        <w:rPr>
          <w:rFonts w:cs="Times New Roman"/>
          <w:color w:val="000000"/>
        </w:rPr>
        <w:t xml:space="preserve"> bildirilmesi.</w:t>
      </w:r>
    </w:p>
    <w:p w14:paraId="24A0C034" w14:textId="77777777" w:rsidR="00452484" w:rsidRPr="00DB2D1C" w:rsidRDefault="00396A3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İç denetçilerden </w:t>
      </w:r>
      <w:r w:rsidR="0099228A" w:rsidRPr="00DB2D1C">
        <w:rPr>
          <w:rFonts w:cs="Times New Roman"/>
          <w:color w:val="000000"/>
        </w:rPr>
        <w:t>gelen raporların incelenmesi ve dosyalanması.</w:t>
      </w:r>
    </w:p>
    <w:p w14:paraId="45FA561E" w14:textId="77777777" w:rsidR="00452484" w:rsidRPr="00DB2D1C" w:rsidRDefault="009922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 w:rsidRPr="00DB2D1C">
        <w:rPr>
          <w:rFonts w:cs="Times New Roman"/>
          <w:color w:val="000000"/>
        </w:rPr>
        <w:t>Toplantıda görüşülen konular için rapor tutulması.</w:t>
      </w:r>
    </w:p>
    <w:p w14:paraId="2FC6A4D3" w14:textId="77777777" w:rsidR="00452484" w:rsidRPr="00DB2D1C" w:rsidRDefault="009922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 w:rsidRPr="00DB2D1C">
        <w:rPr>
          <w:rFonts w:cs="Times New Roman"/>
          <w:color w:val="000000"/>
        </w:rPr>
        <w:t>Alınan kararların kayıtlanması ve takibi.</w:t>
      </w:r>
    </w:p>
    <w:p w14:paraId="72AE0A04" w14:textId="7533D530" w:rsidR="00452484" w:rsidRPr="00DB2D1C" w:rsidRDefault="009922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 w:rsidRPr="00DB2D1C">
        <w:rPr>
          <w:rFonts w:cs="Times New Roman"/>
          <w:color w:val="000000"/>
        </w:rPr>
        <w:t>Toplantı</w:t>
      </w:r>
      <w:r w:rsidR="009B0909">
        <w:rPr>
          <w:rFonts w:cs="Times New Roman"/>
          <w:color w:val="000000"/>
        </w:rPr>
        <w:t xml:space="preserve"> karar</w:t>
      </w:r>
      <w:r w:rsidRPr="00DB2D1C">
        <w:rPr>
          <w:rFonts w:cs="Times New Roman"/>
          <w:color w:val="000000"/>
        </w:rPr>
        <w:t xml:space="preserve"> tutanağının dağıtımının katılımcılara yapılması.</w:t>
      </w:r>
    </w:p>
    <w:p w14:paraId="19C333B7" w14:textId="49BEED84" w:rsidR="00452484" w:rsidRPr="00DB2D1C" w:rsidRDefault="0099228A" w:rsidP="000A5D00">
      <w:pPr>
        <w:pStyle w:val="Balk1"/>
      </w:pPr>
      <w:bookmarkStart w:id="3" w:name="_2et92p0" w:colFirst="0" w:colLast="0"/>
      <w:bookmarkStart w:id="4" w:name="_Toc87885370"/>
      <w:bookmarkEnd w:id="3"/>
      <w:r w:rsidRPr="000A5D00">
        <w:t>UYGULAMA</w:t>
      </w:r>
      <w:bookmarkStart w:id="5" w:name="_tyjcwt" w:colFirst="0" w:colLast="0"/>
      <w:bookmarkStart w:id="6" w:name="_3dy6vkm" w:colFirst="0" w:colLast="0"/>
      <w:bookmarkEnd w:id="4"/>
      <w:bookmarkEnd w:id="5"/>
      <w:bookmarkEnd w:id="6"/>
    </w:p>
    <w:p w14:paraId="70A3BB7C" w14:textId="77777777" w:rsidR="00452484" w:rsidRPr="00DB2D1C" w:rsidRDefault="0099228A" w:rsidP="000A5D00">
      <w:pPr>
        <w:pStyle w:val="Balk2"/>
      </w:pPr>
      <w:bookmarkStart w:id="7" w:name="_1t3h5sf" w:colFirst="0" w:colLast="0"/>
      <w:bookmarkStart w:id="8" w:name="_Toc87885371"/>
      <w:bookmarkEnd w:id="7"/>
      <w:r w:rsidRPr="00DB2D1C">
        <w:t xml:space="preserve">YGG </w:t>
      </w:r>
      <w:r w:rsidRPr="000A5D00">
        <w:t>TOPLANTILARININ</w:t>
      </w:r>
      <w:r w:rsidRPr="00DB2D1C">
        <w:t xml:space="preserve"> PLANLANMASI</w:t>
      </w:r>
      <w:bookmarkEnd w:id="8"/>
    </w:p>
    <w:p w14:paraId="545C733D" w14:textId="306CCC57" w:rsidR="00452484" w:rsidRPr="00DB2D1C" w:rsidRDefault="0099228A">
      <w:pPr>
        <w:spacing w:line="276" w:lineRule="auto"/>
        <w:rPr>
          <w:rFonts w:cs="Times New Roman"/>
        </w:rPr>
      </w:pPr>
      <w:r w:rsidRPr="00DB2D1C">
        <w:rPr>
          <w:rFonts w:cs="Times New Roman"/>
        </w:rPr>
        <w:t xml:space="preserve">Yönetim Gözden Geçirme Toplantıları yılda minimum 1 kez yapılır. Yönetim Gözden Geçirme toplantı bilgileri YGG katılımcılarına </w:t>
      </w:r>
      <w:r w:rsidR="00A66107">
        <w:rPr>
          <w:rFonts w:cs="Times New Roman"/>
        </w:rPr>
        <w:t>Strateji Geliştirme Daire Başkanlığı tarafından</w:t>
      </w:r>
      <w:r w:rsidRPr="00DB2D1C">
        <w:rPr>
          <w:rFonts w:cs="Times New Roman"/>
        </w:rPr>
        <w:t xml:space="preserve"> </w:t>
      </w:r>
      <w:r w:rsidR="00A66107">
        <w:rPr>
          <w:rFonts w:cs="Times New Roman"/>
        </w:rPr>
        <w:t>e-posta</w:t>
      </w:r>
      <w:r w:rsidR="00E9298D">
        <w:rPr>
          <w:rFonts w:cs="Times New Roman"/>
        </w:rPr>
        <w:t>-</w:t>
      </w:r>
      <w:r w:rsidR="00A66107">
        <w:rPr>
          <w:rFonts w:cs="Times New Roman"/>
        </w:rPr>
        <w:t>EBYS</w:t>
      </w:r>
      <w:r w:rsidR="00E9298D">
        <w:rPr>
          <w:rFonts w:cs="Times New Roman"/>
        </w:rPr>
        <w:t xml:space="preserve">-sözlü olarak </w:t>
      </w:r>
      <w:r w:rsidRPr="00DB2D1C">
        <w:rPr>
          <w:rFonts w:cs="Times New Roman"/>
        </w:rPr>
        <w:t>bildirilir.</w:t>
      </w:r>
    </w:p>
    <w:p w14:paraId="79BDDA47" w14:textId="77777777" w:rsidR="00452484" w:rsidRPr="00DB2D1C" w:rsidRDefault="0099228A" w:rsidP="000A5D00">
      <w:pPr>
        <w:pStyle w:val="Balk2"/>
      </w:pPr>
      <w:bookmarkStart w:id="9" w:name="_Toc87885372"/>
      <w:r w:rsidRPr="00DB2D1C">
        <w:lastRenderedPageBreak/>
        <w:t xml:space="preserve">TOPLANTI </w:t>
      </w:r>
      <w:r w:rsidRPr="000A5D00">
        <w:t>KATILIMCILARI</w:t>
      </w:r>
      <w:bookmarkEnd w:id="9"/>
    </w:p>
    <w:p w14:paraId="036BBDF3" w14:textId="77777777" w:rsidR="00452484" w:rsidRPr="00DB2D1C" w:rsidRDefault="0099228A">
      <w:pPr>
        <w:rPr>
          <w:rFonts w:cs="Times New Roman"/>
        </w:rPr>
      </w:pPr>
      <w:r w:rsidRPr="00DB2D1C">
        <w:rPr>
          <w:rFonts w:cs="Times New Roman"/>
        </w:rPr>
        <w:t xml:space="preserve">Yönetim Gözden Geçirme Toplantıları </w:t>
      </w:r>
      <w:r w:rsidR="00675745">
        <w:rPr>
          <w:rFonts w:cs="Times New Roman"/>
        </w:rPr>
        <w:t>Kalite Komisyonu Başkanı</w:t>
      </w:r>
      <w:r w:rsidRPr="00DB2D1C">
        <w:rPr>
          <w:rFonts w:cs="Times New Roman"/>
        </w:rPr>
        <w:t xml:space="preserve"> yönetiminde gerçekleşir. Toplantıya doğrudan aşağıdaki katılımcıların katılması beklenir.</w:t>
      </w:r>
    </w:p>
    <w:p w14:paraId="26B57AAE" w14:textId="23F592A6" w:rsidR="00E9298D" w:rsidRDefault="00E9298D">
      <w:pPr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>Rektör</w:t>
      </w:r>
    </w:p>
    <w:p w14:paraId="5762B2F9" w14:textId="1B8CD236" w:rsidR="00452484" w:rsidRDefault="00675745">
      <w:pPr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>Rektör Yardımcısı</w:t>
      </w:r>
      <w:r w:rsidR="00E9298D">
        <w:rPr>
          <w:rFonts w:cs="Times New Roman"/>
        </w:rPr>
        <w:t>/Yardımcıları</w:t>
      </w:r>
    </w:p>
    <w:p w14:paraId="15DAB7D0" w14:textId="49B206D3" w:rsidR="00E9298D" w:rsidRPr="00DB2D1C" w:rsidRDefault="00E9298D">
      <w:pPr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>Genel Sekreter</w:t>
      </w:r>
    </w:p>
    <w:p w14:paraId="73F1947F" w14:textId="10B1C521" w:rsidR="00E9298D" w:rsidRDefault="00E9298D">
      <w:pPr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 xml:space="preserve">Kaliteden sorumlu Rektör Yardımcısının uygun gördüğü Daire Başkanları </w:t>
      </w:r>
    </w:p>
    <w:p w14:paraId="2453BAEC" w14:textId="3B36ABC1" w:rsidR="00E9298D" w:rsidRPr="00DB2D1C" w:rsidRDefault="00E9298D">
      <w:pPr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 xml:space="preserve">Kalite Komisyonu </w:t>
      </w:r>
      <w:proofErr w:type="spellStart"/>
      <w:r>
        <w:rPr>
          <w:rFonts w:cs="Times New Roman"/>
        </w:rPr>
        <w:t>Sekreteryası</w:t>
      </w:r>
      <w:proofErr w:type="spellEnd"/>
    </w:p>
    <w:p w14:paraId="30B22B51" w14:textId="77777777" w:rsidR="00452484" w:rsidRDefault="0099228A" w:rsidP="00650E3A">
      <w:pPr>
        <w:ind w:left="720"/>
        <w:rPr>
          <w:rFonts w:cs="Times New Roman"/>
        </w:rPr>
      </w:pPr>
      <w:r w:rsidRPr="00650E3A">
        <w:rPr>
          <w:rFonts w:cs="Times New Roman"/>
        </w:rPr>
        <w:t xml:space="preserve">Katılımcıların tam listesi toplantı duyurusunda yer alır. </w:t>
      </w:r>
    </w:p>
    <w:p w14:paraId="3E347E98" w14:textId="77777777" w:rsidR="00452484" w:rsidRPr="00DB2D1C" w:rsidRDefault="0099228A" w:rsidP="000A5D00">
      <w:pPr>
        <w:pStyle w:val="Balk2"/>
      </w:pPr>
      <w:bookmarkStart w:id="10" w:name="_Toc87885373"/>
      <w:r w:rsidRPr="000A5D00">
        <w:t>TOPLANTI</w:t>
      </w:r>
      <w:r w:rsidRPr="00DB2D1C">
        <w:t xml:space="preserve"> G</w:t>
      </w:r>
      <w:r w:rsidR="00650E3A">
        <w:t>ÜNDEMLERİ</w:t>
      </w:r>
      <w:bookmarkEnd w:id="10"/>
    </w:p>
    <w:p w14:paraId="7EE96196" w14:textId="74332BB2" w:rsidR="00452484" w:rsidRPr="00DB2D1C" w:rsidRDefault="0099228A" w:rsidP="00984F7D">
      <w:pPr>
        <w:numPr>
          <w:ilvl w:val="0"/>
          <w:numId w:val="3"/>
        </w:numPr>
        <w:rPr>
          <w:rFonts w:cs="Times New Roman"/>
        </w:rPr>
      </w:pPr>
      <w:r w:rsidRPr="00DB2D1C">
        <w:rPr>
          <w:rFonts w:cs="Times New Roman"/>
        </w:rPr>
        <w:t xml:space="preserve">Yönetim Gözden Geçirme toplantısının girdilerini oluşturan raporları aşağıda tanımlanmıştır. Bu raporlar </w:t>
      </w:r>
      <w:r w:rsidR="00984F7D" w:rsidRPr="00DB2D1C">
        <w:rPr>
          <w:rFonts w:cs="Times New Roman"/>
        </w:rPr>
        <w:t xml:space="preserve">Birim Sorumluları </w:t>
      </w:r>
      <w:r w:rsidRPr="00DB2D1C">
        <w:rPr>
          <w:rFonts w:cs="Times New Roman"/>
        </w:rPr>
        <w:t xml:space="preserve">tarafından hazırlanır ve </w:t>
      </w:r>
      <w:r w:rsidR="00AE67AB">
        <w:rPr>
          <w:rFonts w:cs="Times New Roman"/>
        </w:rPr>
        <w:t xml:space="preserve">kalite komisyonu </w:t>
      </w:r>
      <w:proofErr w:type="spellStart"/>
      <w:r w:rsidR="00AE67AB">
        <w:rPr>
          <w:rFonts w:cs="Times New Roman"/>
        </w:rPr>
        <w:t>sekreteryasına</w:t>
      </w:r>
      <w:proofErr w:type="spellEnd"/>
      <w:r w:rsidR="00AE67AB">
        <w:rPr>
          <w:rFonts w:cs="Times New Roman"/>
        </w:rPr>
        <w:t xml:space="preserve"> iletilir.</w:t>
      </w:r>
    </w:p>
    <w:p w14:paraId="5A51A590" w14:textId="77777777" w:rsidR="00452484" w:rsidRPr="00DB2D1C" w:rsidRDefault="009922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 w:rsidRPr="00DB2D1C">
        <w:rPr>
          <w:rFonts w:cs="Times New Roman"/>
          <w:color w:val="000000"/>
        </w:rPr>
        <w:t>Bir önceki YGG toplantısında alınan kararların durumu</w:t>
      </w:r>
    </w:p>
    <w:p w14:paraId="094958B6" w14:textId="494B27FB" w:rsidR="00452484" w:rsidRPr="00DB2D1C" w:rsidRDefault="004E007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EYS kapsamındaki iç denetim </w:t>
      </w:r>
      <w:r w:rsidR="0099228A" w:rsidRPr="00DB2D1C">
        <w:rPr>
          <w:rFonts w:cs="Times New Roman"/>
          <w:color w:val="000000"/>
        </w:rPr>
        <w:t xml:space="preserve">sonuçları </w:t>
      </w:r>
    </w:p>
    <w:p w14:paraId="5DDCF7F6" w14:textId="3E1C4931" w:rsidR="00452484" w:rsidRPr="00DB2D1C" w:rsidRDefault="00AF56A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>
        <w:rPr>
          <w:rFonts w:cs="Times New Roman"/>
          <w:color w:val="000000"/>
        </w:rPr>
        <w:t>Uygunsuzluklar ve d</w:t>
      </w:r>
      <w:r w:rsidR="0099228A" w:rsidRPr="00DB2D1C">
        <w:rPr>
          <w:rFonts w:cs="Times New Roman"/>
          <w:color w:val="000000"/>
        </w:rPr>
        <w:t>üzenleyici</w:t>
      </w:r>
      <w:r w:rsidR="00650E3A">
        <w:rPr>
          <w:rFonts w:cs="Times New Roman"/>
          <w:color w:val="000000"/>
        </w:rPr>
        <w:t xml:space="preserve"> önleyici</w:t>
      </w:r>
      <w:r w:rsidR="0099228A" w:rsidRPr="00DB2D1C">
        <w:rPr>
          <w:rFonts w:cs="Times New Roman"/>
          <w:color w:val="000000"/>
        </w:rPr>
        <w:t xml:space="preserve"> faaliyetlerin durumu</w:t>
      </w:r>
    </w:p>
    <w:p w14:paraId="01217AE7" w14:textId="5E3766F6" w:rsidR="00452484" w:rsidRPr="00DB2D1C" w:rsidRDefault="009922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 w:rsidRPr="00DB2D1C">
        <w:rPr>
          <w:rFonts w:cs="Times New Roman"/>
          <w:color w:val="000000"/>
        </w:rPr>
        <w:t xml:space="preserve">Performans hedefleri </w:t>
      </w:r>
      <w:r w:rsidR="00AF56AF">
        <w:rPr>
          <w:rFonts w:cs="Times New Roman"/>
          <w:color w:val="000000"/>
        </w:rPr>
        <w:t xml:space="preserve">izleme </w:t>
      </w:r>
      <w:r w:rsidRPr="00DB2D1C">
        <w:rPr>
          <w:rFonts w:cs="Times New Roman"/>
          <w:color w:val="000000"/>
        </w:rPr>
        <w:t>ve</w:t>
      </w:r>
      <w:r w:rsidR="00AF56AF">
        <w:rPr>
          <w:rFonts w:cs="Times New Roman"/>
          <w:color w:val="000000"/>
        </w:rPr>
        <w:t xml:space="preserve"> ölçme</w:t>
      </w:r>
      <w:r w:rsidRPr="00DB2D1C">
        <w:rPr>
          <w:rFonts w:cs="Times New Roman"/>
          <w:color w:val="000000"/>
        </w:rPr>
        <w:t xml:space="preserve"> sonuçları</w:t>
      </w:r>
    </w:p>
    <w:p w14:paraId="7C749DEC" w14:textId="3A891C39" w:rsidR="00452484" w:rsidRDefault="009922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 w:rsidRPr="00DB2D1C">
        <w:rPr>
          <w:rFonts w:cs="Times New Roman"/>
          <w:color w:val="000000"/>
        </w:rPr>
        <w:t>Yönetim sistemini etkileyebilecek değişiklikler</w:t>
      </w:r>
    </w:p>
    <w:p w14:paraId="390C8455" w14:textId="735337D6" w:rsidR="00AF56AF" w:rsidRDefault="00AF56A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>
        <w:rPr>
          <w:rFonts w:cs="Times New Roman"/>
          <w:color w:val="000000"/>
        </w:rPr>
        <w:t>Kaynakların yeterliliği</w:t>
      </w:r>
    </w:p>
    <w:p w14:paraId="2CCB96E8" w14:textId="77777777" w:rsidR="00AF56AF" w:rsidRDefault="00AF56AF" w:rsidP="00AF56AF">
      <w:pPr>
        <w:numPr>
          <w:ilvl w:val="0"/>
          <w:numId w:val="4"/>
        </w:numPr>
        <w:spacing w:after="0"/>
        <w:rPr>
          <w:rFonts w:cs="Times New Roman"/>
          <w:sz w:val="22"/>
          <w:szCs w:val="22"/>
        </w:rPr>
      </w:pPr>
      <w:r w:rsidRPr="00DD2432">
        <w:rPr>
          <w:rFonts w:cs="Times New Roman"/>
          <w:sz w:val="22"/>
          <w:szCs w:val="22"/>
        </w:rPr>
        <w:t>Risk ve fırsatların belirlenmesi için gerçekleştirilen faaliyetlerin etkinliği,</w:t>
      </w:r>
    </w:p>
    <w:p w14:paraId="195141C6" w14:textId="0E75DE29" w:rsidR="00452484" w:rsidRDefault="009922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 w:rsidRPr="00DB2D1C">
        <w:rPr>
          <w:rFonts w:cs="Times New Roman"/>
          <w:color w:val="000000"/>
        </w:rPr>
        <w:t>İyileştirme için öneriler</w:t>
      </w:r>
    </w:p>
    <w:p w14:paraId="5AD888DC" w14:textId="08849093" w:rsidR="00AF56AF" w:rsidRPr="00DB2D1C" w:rsidRDefault="00AF56A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>
        <w:rPr>
          <w:rFonts w:cs="Times New Roman"/>
          <w:color w:val="000000"/>
        </w:rPr>
        <w:t>Payda</w:t>
      </w:r>
      <w:r w:rsidR="005C11E1">
        <w:rPr>
          <w:rFonts w:cs="Times New Roman"/>
          <w:color w:val="000000"/>
        </w:rPr>
        <w:t>ş</w:t>
      </w:r>
      <w:r>
        <w:rPr>
          <w:rFonts w:cs="Times New Roman"/>
          <w:color w:val="000000"/>
        </w:rPr>
        <w:t xml:space="preserve"> memnuniyeti ve ilgili taraflardan geri bildirimler,</w:t>
      </w:r>
    </w:p>
    <w:p w14:paraId="5D5501B9" w14:textId="71BF82CF" w:rsidR="00452484" w:rsidRDefault="00984F7D" w:rsidP="00984F7D">
      <w:pPr>
        <w:numPr>
          <w:ilvl w:val="0"/>
          <w:numId w:val="4"/>
        </w:numPr>
        <w:rPr>
          <w:rFonts w:cs="Times New Roman"/>
        </w:rPr>
      </w:pPr>
      <w:r w:rsidRPr="00DB2D1C">
        <w:rPr>
          <w:rFonts w:cs="Times New Roman"/>
        </w:rPr>
        <w:t>Birim Sorumluları</w:t>
      </w:r>
      <w:r w:rsidR="0099228A" w:rsidRPr="00DB2D1C">
        <w:rPr>
          <w:rFonts w:cs="Times New Roman"/>
        </w:rPr>
        <w:t xml:space="preserve">ndan gelen raporlar </w:t>
      </w:r>
      <w:r w:rsidR="008A3369">
        <w:rPr>
          <w:rFonts w:cs="Times New Roman"/>
        </w:rPr>
        <w:t>Kalite Komisyonu Başkanlığı</w:t>
      </w:r>
      <w:r w:rsidR="0099228A" w:rsidRPr="00DB2D1C">
        <w:rPr>
          <w:rFonts w:cs="Times New Roman"/>
        </w:rPr>
        <w:t xml:space="preserve"> tarafından YGG Toplantısı </w:t>
      </w:r>
      <w:r w:rsidR="008A3369">
        <w:rPr>
          <w:rFonts w:cs="Times New Roman"/>
        </w:rPr>
        <w:t>gündemleri</w:t>
      </w:r>
      <w:r w:rsidR="0099228A" w:rsidRPr="00DB2D1C">
        <w:rPr>
          <w:rFonts w:cs="Times New Roman"/>
        </w:rPr>
        <w:t xml:space="preserve"> olarak bir dosyada toplanır.</w:t>
      </w:r>
      <w:r w:rsidR="008A3369">
        <w:rPr>
          <w:rFonts w:cs="Times New Roman"/>
        </w:rPr>
        <w:t xml:space="preserve"> ESAS üzerinden toplantılar düzenlenerek kayıt altına alınır.</w:t>
      </w:r>
    </w:p>
    <w:p w14:paraId="21300A46" w14:textId="77777777" w:rsidR="00452484" w:rsidRPr="00DB2D1C" w:rsidRDefault="0099228A" w:rsidP="000A5D00">
      <w:pPr>
        <w:pStyle w:val="Balk2"/>
      </w:pPr>
      <w:bookmarkStart w:id="11" w:name="_Toc87885374"/>
      <w:r w:rsidRPr="00DB2D1C">
        <w:lastRenderedPageBreak/>
        <w:t xml:space="preserve">YGG </w:t>
      </w:r>
      <w:r w:rsidR="006B53DA">
        <w:t>TOPLANTI ÇIKTILARI</w:t>
      </w:r>
      <w:bookmarkEnd w:id="11"/>
    </w:p>
    <w:p w14:paraId="4B06E0C4" w14:textId="77777777" w:rsidR="00452484" w:rsidRPr="00DB2D1C" w:rsidRDefault="0099228A">
      <w:pPr>
        <w:rPr>
          <w:rFonts w:cs="Times New Roman"/>
        </w:rPr>
      </w:pPr>
      <w:r w:rsidRPr="00DB2D1C">
        <w:rPr>
          <w:rFonts w:cs="Times New Roman"/>
        </w:rPr>
        <w:t xml:space="preserve">Yönetim Gözden Geçirme toplantısının çıktıları aşağıda listelenmiştir. </w:t>
      </w:r>
    </w:p>
    <w:p w14:paraId="294E787C" w14:textId="77777777" w:rsidR="00EA04DF" w:rsidRPr="00DD2432" w:rsidRDefault="00EA04DF" w:rsidP="00EA04DF">
      <w:pPr>
        <w:ind w:firstLine="720"/>
        <w:rPr>
          <w:rFonts w:cs="Times New Roman"/>
          <w:sz w:val="22"/>
          <w:szCs w:val="22"/>
        </w:rPr>
      </w:pPr>
      <w:r w:rsidRPr="00DD2432">
        <w:rPr>
          <w:rFonts w:cs="Times New Roman"/>
          <w:sz w:val="22"/>
          <w:szCs w:val="22"/>
        </w:rPr>
        <w:t>a) İyileştirme için fırsatlar,</w:t>
      </w:r>
    </w:p>
    <w:p w14:paraId="4270EA0A" w14:textId="77777777" w:rsidR="00EA04DF" w:rsidRPr="00DD2432" w:rsidRDefault="00EA04DF" w:rsidP="00EA04DF">
      <w:pPr>
        <w:ind w:firstLine="720"/>
        <w:rPr>
          <w:rFonts w:cs="Times New Roman"/>
          <w:sz w:val="22"/>
          <w:szCs w:val="22"/>
        </w:rPr>
      </w:pPr>
      <w:r w:rsidRPr="00DD2432">
        <w:rPr>
          <w:rFonts w:cs="Times New Roman"/>
          <w:sz w:val="22"/>
          <w:szCs w:val="22"/>
        </w:rPr>
        <w:t xml:space="preserve">b) </w:t>
      </w:r>
      <w:r>
        <w:rPr>
          <w:rFonts w:cs="Times New Roman"/>
          <w:sz w:val="22"/>
          <w:szCs w:val="22"/>
        </w:rPr>
        <w:t xml:space="preserve">EYS </w:t>
      </w:r>
      <w:r w:rsidRPr="00DD2432">
        <w:rPr>
          <w:rFonts w:cs="Times New Roman"/>
          <w:sz w:val="22"/>
          <w:szCs w:val="22"/>
        </w:rPr>
        <w:t>ile ilgili her türlü değişiklik ihtiyacı,</w:t>
      </w:r>
    </w:p>
    <w:p w14:paraId="00CF55EE" w14:textId="77777777" w:rsidR="00EA04DF" w:rsidRPr="00DD2432" w:rsidRDefault="00EA04DF" w:rsidP="00EA04DF">
      <w:pPr>
        <w:ind w:firstLine="720"/>
        <w:rPr>
          <w:rFonts w:cs="Times New Roman"/>
          <w:sz w:val="22"/>
          <w:szCs w:val="22"/>
        </w:rPr>
      </w:pPr>
      <w:r w:rsidRPr="00DD2432">
        <w:rPr>
          <w:rFonts w:cs="Times New Roman"/>
          <w:sz w:val="22"/>
          <w:szCs w:val="22"/>
        </w:rPr>
        <w:t>c) İhtiyaç duyulan kaynaklar</w:t>
      </w:r>
      <w:r>
        <w:rPr>
          <w:rFonts w:cs="Times New Roman"/>
          <w:sz w:val="22"/>
          <w:szCs w:val="22"/>
        </w:rPr>
        <w:t>dır</w:t>
      </w:r>
      <w:r w:rsidRPr="00DD2432">
        <w:rPr>
          <w:rFonts w:cs="Times New Roman"/>
          <w:sz w:val="22"/>
          <w:szCs w:val="22"/>
        </w:rPr>
        <w:t>.</w:t>
      </w:r>
    </w:p>
    <w:p w14:paraId="7AFD795D" w14:textId="0E8065B9" w:rsidR="00452484" w:rsidRPr="00DB2D1C" w:rsidRDefault="0099228A" w:rsidP="00D123B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Verdana" w:cs="Times New Roman"/>
          <w:color w:val="000000"/>
          <w:u w:val="single"/>
        </w:rPr>
      </w:pPr>
      <w:r w:rsidRPr="005909F7">
        <w:rPr>
          <w:rFonts w:cs="Times New Roman"/>
        </w:rPr>
        <w:t xml:space="preserve">Bu kararlar </w:t>
      </w:r>
      <w:r w:rsidR="00D20729">
        <w:rPr>
          <w:rFonts w:cs="Times New Roman"/>
        </w:rPr>
        <w:t xml:space="preserve">Kalite Komisyonu </w:t>
      </w:r>
      <w:proofErr w:type="spellStart"/>
      <w:r w:rsidR="00D20729">
        <w:rPr>
          <w:rFonts w:cs="Times New Roman"/>
        </w:rPr>
        <w:t>sekreteryası</w:t>
      </w:r>
      <w:proofErr w:type="spellEnd"/>
      <w:r w:rsidR="00D20729">
        <w:rPr>
          <w:rFonts w:cs="Times New Roman"/>
        </w:rPr>
        <w:t xml:space="preserve"> </w:t>
      </w:r>
      <w:r w:rsidR="003E6897" w:rsidRPr="005909F7">
        <w:rPr>
          <w:rFonts w:cs="Times New Roman"/>
        </w:rPr>
        <w:t>t</w:t>
      </w:r>
      <w:r w:rsidRPr="005909F7">
        <w:rPr>
          <w:rFonts w:cs="Times New Roman"/>
        </w:rPr>
        <w:t xml:space="preserve">arafından Toplantı Tutanağına işlenir.  YGG Girdileri haricinde toplantıda konuşulan </w:t>
      </w:r>
      <w:r w:rsidR="0004103D">
        <w:rPr>
          <w:rFonts w:cs="Times New Roman"/>
        </w:rPr>
        <w:t>konular</w:t>
      </w:r>
      <w:r w:rsidRPr="005909F7">
        <w:rPr>
          <w:rFonts w:cs="Times New Roman"/>
        </w:rPr>
        <w:t xml:space="preserve"> ve alınan kararlar aynı listede listelenecektir. Yönetim Gözden Geçirme gündem dosyaları ve toplantı çıktıları Yönetim Temsilcisi tarafından saklanır.</w:t>
      </w:r>
    </w:p>
    <w:sectPr w:rsidR="00452484" w:rsidRPr="00DB2D1C" w:rsidSect="005C11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567" w:right="720" w:bottom="567" w:left="1134" w:header="567" w:footer="45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80CD0" w14:textId="77777777" w:rsidR="00396AFC" w:rsidRDefault="00396AFC">
      <w:pPr>
        <w:spacing w:after="0"/>
      </w:pPr>
      <w:r>
        <w:separator/>
      </w:r>
    </w:p>
  </w:endnote>
  <w:endnote w:type="continuationSeparator" w:id="0">
    <w:p w14:paraId="0D67E7BC" w14:textId="77777777" w:rsidR="00396AFC" w:rsidRDefault="00396A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9AEF8" w14:textId="77777777" w:rsidR="00452484" w:rsidRDefault="009922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BDA11FF" w14:textId="77777777" w:rsidR="00452484" w:rsidRDefault="0045248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804CE" w14:textId="77777777" w:rsidR="00452484" w:rsidRDefault="0045248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color w:val="000000"/>
      </w:rPr>
    </w:pPr>
  </w:p>
  <w:tbl>
    <w:tblPr>
      <w:tblStyle w:val="a0"/>
      <w:tblW w:w="10598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170"/>
      <w:gridCol w:w="5428"/>
    </w:tblGrid>
    <w:tr w:rsidR="00452484" w14:paraId="0B77CE23" w14:textId="77777777" w:rsidTr="0067072D">
      <w:tc>
        <w:tcPr>
          <w:tcW w:w="5170" w:type="dxa"/>
        </w:tcPr>
        <w:p w14:paraId="44CD1932" w14:textId="77777777" w:rsidR="00452484" w:rsidRPr="00224090" w:rsidRDefault="009922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eastAsia="Verdana" w:cs="Times New Roman"/>
              <w:color w:val="000000"/>
              <w:sz w:val="22"/>
              <w:szCs w:val="22"/>
            </w:rPr>
          </w:pPr>
          <w:r w:rsidRPr="00224090">
            <w:rPr>
              <w:rFonts w:eastAsia="Verdana" w:cs="Times New Roman"/>
              <w:b/>
              <w:color w:val="000000"/>
              <w:sz w:val="22"/>
              <w:szCs w:val="22"/>
            </w:rPr>
            <w:t>HAZIRLAYAN</w:t>
          </w:r>
        </w:p>
      </w:tc>
      <w:tc>
        <w:tcPr>
          <w:tcW w:w="5428" w:type="dxa"/>
        </w:tcPr>
        <w:p w14:paraId="0B4C5C26" w14:textId="77777777" w:rsidR="00452484" w:rsidRPr="00224090" w:rsidRDefault="009922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eastAsia="Verdana" w:cs="Times New Roman"/>
              <w:color w:val="000000"/>
              <w:sz w:val="22"/>
              <w:szCs w:val="22"/>
            </w:rPr>
          </w:pPr>
          <w:r w:rsidRPr="00224090">
            <w:rPr>
              <w:rFonts w:eastAsia="Verdana" w:cs="Times New Roman"/>
              <w:b/>
              <w:color w:val="000000"/>
              <w:sz w:val="22"/>
              <w:szCs w:val="22"/>
            </w:rPr>
            <w:t>ONAYLAYAN</w:t>
          </w:r>
        </w:p>
      </w:tc>
    </w:tr>
    <w:tr w:rsidR="00452484" w14:paraId="1F229AAB" w14:textId="77777777" w:rsidTr="0067072D">
      <w:trPr>
        <w:trHeight w:val="960"/>
      </w:trPr>
      <w:tc>
        <w:tcPr>
          <w:tcW w:w="5170" w:type="dxa"/>
        </w:tcPr>
        <w:p w14:paraId="0E2BCE43" w14:textId="77777777" w:rsidR="00452484" w:rsidRPr="00224090" w:rsidRDefault="006707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eastAsia="Verdana" w:cs="Times New Roman"/>
              <w:color w:val="000000"/>
            </w:rPr>
          </w:pPr>
          <w:r w:rsidRPr="00224090">
            <w:rPr>
              <w:rFonts w:eastAsia="Verdana" w:cs="Times New Roman"/>
              <w:color w:val="000000"/>
            </w:rPr>
            <w:t>Arzu ALKANAT</w:t>
          </w:r>
        </w:p>
        <w:p w14:paraId="4194A6FF" w14:textId="77777777" w:rsidR="0067072D" w:rsidRPr="00224090" w:rsidRDefault="006707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eastAsia="Verdana" w:cs="Times New Roman"/>
              <w:color w:val="000000"/>
            </w:rPr>
          </w:pPr>
          <w:r w:rsidRPr="00224090">
            <w:rPr>
              <w:rFonts w:eastAsia="Verdana" w:cs="Times New Roman"/>
              <w:color w:val="000000"/>
            </w:rPr>
            <w:t>Strateji Geliştirme Daire Başkanı</w:t>
          </w:r>
        </w:p>
      </w:tc>
      <w:tc>
        <w:tcPr>
          <w:tcW w:w="5428" w:type="dxa"/>
        </w:tcPr>
        <w:p w14:paraId="7ED7697D" w14:textId="77777777" w:rsidR="00452484" w:rsidRPr="00224090" w:rsidRDefault="004524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eastAsia="Verdana" w:cs="Times New Roman"/>
              <w:color w:val="000000"/>
            </w:rPr>
          </w:pPr>
        </w:p>
        <w:p w14:paraId="28F6CCFC" w14:textId="5853C722" w:rsidR="00452484" w:rsidRPr="00224090" w:rsidRDefault="0067072D" w:rsidP="00AE67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eastAsia="Verdana" w:cs="Times New Roman"/>
              <w:color w:val="000000"/>
            </w:rPr>
          </w:pPr>
          <w:r w:rsidRPr="00224090">
            <w:rPr>
              <w:rFonts w:eastAsia="Verdana" w:cs="Times New Roman"/>
            </w:rPr>
            <w:t>TNKÜ Kalite Komisyonu Başkan</w:t>
          </w:r>
          <w:r w:rsidR="00AE67AB" w:rsidRPr="00224090">
            <w:rPr>
              <w:rFonts w:eastAsia="Verdana" w:cs="Times New Roman"/>
            </w:rPr>
            <w:t>ı</w:t>
          </w:r>
        </w:p>
      </w:tc>
    </w:tr>
  </w:tbl>
  <w:p w14:paraId="0D9451AA" w14:textId="77777777" w:rsidR="00452484" w:rsidRDefault="009922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i/>
        <w:color w:val="000000"/>
        <w:sz w:val="16"/>
        <w:szCs w:val="16"/>
      </w:rPr>
      <w:t xml:space="preserve"> </w:t>
    </w:r>
    <w:r>
      <w:rPr>
        <w:rFonts w:ascii="Verdana" w:eastAsia="Verdana" w:hAnsi="Verdana" w:cs="Verdana"/>
        <w:i/>
        <w:color w:val="000000"/>
        <w:sz w:val="16"/>
        <w:szCs w:val="16"/>
      </w:rPr>
      <w:tab/>
    </w:r>
    <w:r>
      <w:rPr>
        <w:rFonts w:ascii="Verdana" w:eastAsia="Verdana" w:hAnsi="Verdana" w:cs="Verdana"/>
        <w:i/>
        <w:color w:val="000000"/>
        <w:sz w:val="16"/>
        <w:szCs w:val="16"/>
      </w:rPr>
      <w:tab/>
      <w:t>Elektronik Ortamda Günceldir &amp; Kontrolsüz Kopya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570B7" w14:textId="77777777" w:rsidR="002B70B9" w:rsidRDefault="002B70B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02D54" w14:textId="77777777" w:rsidR="00396AFC" w:rsidRDefault="00396AFC">
      <w:pPr>
        <w:spacing w:after="0"/>
      </w:pPr>
      <w:r>
        <w:separator/>
      </w:r>
    </w:p>
  </w:footnote>
  <w:footnote w:type="continuationSeparator" w:id="0">
    <w:p w14:paraId="44B7704E" w14:textId="77777777" w:rsidR="00396AFC" w:rsidRDefault="00396A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D17E0" w14:textId="77777777" w:rsidR="002B70B9" w:rsidRDefault="002B70B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87AE4" w14:textId="77777777" w:rsidR="00452484" w:rsidRDefault="00452484" w:rsidP="007861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B759C" w14:textId="77777777" w:rsidR="005C11E1" w:rsidRDefault="005C11E1" w:rsidP="005C11E1">
    <w:pPr>
      <w:pStyle w:val="stBilgi"/>
      <w:tabs>
        <w:tab w:val="clear" w:pos="4536"/>
        <w:tab w:val="clear" w:pos="9072"/>
        <w:tab w:val="left" w:pos="1770"/>
      </w:tabs>
    </w:pPr>
    <w:r>
      <w:tab/>
    </w:r>
  </w:p>
  <w:tbl>
    <w:tblPr>
      <w:tblStyle w:val="a0"/>
      <w:tblW w:w="10555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508"/>
      <w:gridCol w:w="3979"/>
      <w:gridCol w:w="2126"/>
      <w:gridCol w:w="1942"/>
    </w:tblGrid>
    <w:tr w:rsidR="005C11E1" w:rsidRPr="00B32954" w14:paraId="472AC92F" w14:textId="77777777" w:rsidTr="002B70B9">
      <w:trPr>
        <w:trHeight w:val="340"/>
      </w:trPr>
      <w:tc>
        <w:tcPr>
          <w:tcW w:w="2508" w:type="dxa"/>
          <w:vMerge w:val="restart"/>
          <w:vAlign w:val="center"/>
        </w:tcPr>
        <w:p w14:paraId="38CBBC7C" w14:textId="77777777" w:rsidR="005C11E1" w:rsidRDefault="005C11E1" w:rsidP="005C11E1">
          <w:pPr>
            <w:pStyle w:val="TableParagraph"/>
            <w:rPr>
              <w:sz w:val="20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1312" behindDoc="1" locked="0" layoutInCell="1" allowOverlap="1" wp14:anchorId="7262DB4A" wp14:editId="55839A65">
                <wp:simplePos x="0" y="0"/>
                <wp:positionH relativeFrom="column">
                  <wp:posOffset>125095</wp:posOffset>
                </wp:positionH>
                <wp:positionV relativeFrom="paragraph">
                  <wp:posOffset>4445</wp:posOffset>
                </wp:positionV>
                <wp:extent cx="1146175" cy="1000125"/>
                <wp:effectExtent l="0" t="0" r="0" b="952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1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79" w:type="dxa"/>
          <w:vMerge w:val="restart"/>
          <w:vAlign w:val="center"/>
        </w:tcPr>
        <w:p w14:paraId="7B0AC094" w14:textId="77777777" w:rsidR="005C11E1" w:rsidRPr="004707B8" w:rsidRDefault="005C11E1" w:rsidP="005C11E1">
          <w:pPr>
            <w:spacing w:before="1"/>
            <w:ind w:right="562"/>
            <w:jc w:val="center"/>
            <w:rPr>
              <w:b/>
            </w:rPr>
          </w:pPr>
          <w:r w:rsidRPr="004707B8">
            <w:rPr>
              <w:b/>
            </w:rPr>
            <w:t>TNKÜ</w:t>
          </w:r>
          <w:r>
            <w:rPr>
              <w:b/>
            </w:rPr>
            <w:t xml:space="preserve"> YÖNETİMİ GÖZDEN GEÇİRME PROSEDÜRÜ</w:t>
          </w:r>
        </w:p>
      </w:tc>
      <w:tc>
        <w:tcPr>
          <w:tcW w:w="2126" w:type="dxa"/>
          <w:vAlign w:val="center"/>
        </w:tcPr>
        <w:p w14:paraId="668ADE4E" w14:textId="77777777" w:rsidR="005C11E1" w:rsidRPr="0078610B" w:rsidRDefault="005C11E1" w:rsidP="005C11E1">
          <w:pPr>
            <w:pStyle w:val="TableParagraph"/>
            <w:spacing w:before="1" w:line="174" w:lineRule="exact"/>
            <w:ind w:left="34"/>
            <w:rPr>
              <w:w w:val="105"/>
              <w:sz w:val="20"/>
              <w:szCs w:val="20"/>
            </w:rPr>
          </w:pPr>
          <w:r w:rsidRPr="0033553C">
            <w:rPr>
              <w:w w:val="105"/>
              <w:sz w:val="20"/>
              <w:szCs w:val="20"/>
            </w:rPr>
            <w:t>Doküman No:</w:t>
          </w:r>
        </w:p>
      </w:tc>
      <w:tc>
        <w:tcPr>
          <w:tcW w:w="1942" w:type="dxa"/>
          <w:vAlign w:val="center"/>
        </w:tcPr>
        <w:p w14:paraId="787F4FF1" w14:textId="3FAAD34C" w:rsidR="005C11E1" w:rsidRPr="0078610B" w:rsidRDefault="005C11E1" w:rsidP="005C11E1">
          <w:pPr>
            <w:pStyle w:val="TableParagraph"/>
            <w:spacing w:line="176" w:lineRule="exact"/>
            <w:ind w:right="446"/>
            <w:rPr>
              <w:w w:val="105"/>
              <w:sz w:val="20"/>
              <w:szCs w:val="20"/>
            </w:rPr>
          </w:pPr>
          <w:r w:rsidRPr="0078610B">
            <w:rPr>
              <w:w w:val="105"/>
              <w:sz w:val="20"/>
              <w:szCs w:val="20"/>
            </w:rPr>
            <w:t>EYS-PR-0</w:t>
          </w:r>
          <w:r>
            <w:rPr>
              <w:w w:val="105"/>
              <w:sz w:val="20"/>
              <w:szCs w:val="20"/>
            </w:rPr>
            <w:t>38</w:t>
          </w:r>
        </w:p>
      </w:tc>
    </w:tr>
    <w:tr w:rsidR="005C11E1" w:rsidRPr="00B32954" w14:paraId="12643CDF" w14:textId="77777777" w:rsidTr="002B70B9">
      <w:trPr>
        <w:trHeight w:val="340"/>
      </w:trPr>
      <w:tc>
        <w:tcPr>
          <w:tcW w:w="2508" w:type="dxa"/>
          <w:vMerge/>
        </w:tcPr>
        <w:p w14:paraId="4F74FAFF" w14:textId="77777777" w:rsidR="005C11E1" w:rsidRPr="00B32954" w:rsidRDefault="005C11E1" w:rsidP="005C11E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3979" w:type="dxa"/>
          <w:vMerge/>
        </w:tcPr>
        <w:p w14:paraId="55CDEA31" w14:textId="77777777" w:rsidR="005C11E1" w:rsidRPr="00B32954" w:rsidRDefault="005C11E1" w:rsidP="005C11E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</w:pPr>
        </w:p>
      </w:tc>
      <w:tc>
        <w:tcPr>
          <w:tcW w:w="2126" w:type="dxa"/>
          <w:vAlign w:val="center"/>
        </w:tcPr>
        <w:p w14:paraId="579E46AC" w14:textId="77777777" w:rsidR="005C11E1" w:rsidRPr="0078610B" w:rsidRDefault="005C11E1" w:rsidP="005C11E1">
          <w:pPr>
            <w:pStyle w:val="TableParagraph"/>
            <w:spacing w:before="1" w:line="174" w:lineRule="exact"/>
            <w:ind w:left="34"/>
            <w:rPr>
              <w:w w:val="105"/>
              <w:sz w:val="20"/>
              <w:szCs w:val="20"/>
            </w:rPr>
          </w:pPr>
          <w:r w:rsidRPr="0078610B">
            <w:rPr>
              <w:w w:val="105"/>
              <w:sz w:val="20"/>
              <w:szCs w:val="20"/>
            </w:rPr>
            <w:t>Hazırlama Tarihi:</w:t>
          </w:r>
        </w:p>
      </w:tc>
      <w:tc>
        <w:tcPr>
          <w:tcW w:w="1942" w:type="dxa"/>
          <w:vAlign w:val="center"/>
        </w:tcPr>
        <w:p w14:paraId="6E0A0B66" w14:textId="35EEE232" w:rsidR="005C11E1" w:rsidRPr="0078610B" w:rsidRDefault="005C11E1" w:rsidP="005C11E1">
          <w:pPr>
            <w:pStyle w:val="TableParagraph"/>
            <w:spacing w:before="1" w:line="174" w:lineRule="exact"/>
            <w:ind w:left="34"/>
            <w:rPr>
              <w:w w:val="105"/>
              <w:sz w:val="20"/>
              <w:szCs w:val="20"/>
            </w:rPr>
          </w:pPr>
          <w:r>
            <w:rPr>
              <w:w w:val="105"/>
              <w:sz w:val="20"/>
              <w:szCs w:val="20"/>
            </w:rPr>
            <w:t>01.11.</w:t>
          </w:r>
          <w:r w:rsidRPr="0078610B">
            <w:rPr>
              <w:w w:val="105"/>
              <w:sz w:val="20"/>
              <w:szCs w:val="20"/>
            </w:rPr>
            <w:t>2021</w:t>
          </w:r>
        </w:p>
      </w:tc>
    </w:tr>
    <w:tr w:rsidR="005C11E1" w:rsidRPr="00B32954" w14:paraId="72086FB2" w14:textId="77777777" w:rsidTr="002B70B9">
      <w:trPr>
        <w:trHeight w:val="340"/>
      </w:trPr>
      <w:tc>
        <w:tcPr>
          <w:tcW w:w="2508" w:type="dxa"/>
          <w:vMerge/>
        </w:tcPr>
        <w:p w14:paraId="2A7FF162" w14:textId="77777777" w:rsidR="005C11E1" w:rsidRPr="00B32954" w:rsidRDefault="005C11E1" w:rsidP="005C11E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3979" w:type="dxa"/>
          <w:vMerge/>
        </w:tcPr>
        <w:p w14:paraId="095C0330" w14:textId="77777777" w:rsidR="005C11E1" w:rsidRPr="00B32954" w:rsidRDefault="005C11E1" w:rsidP="005C11E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</w:pPr>
        </w:p>
      </w:tc>
      <w:tc>
        <w:tcPr>
          <w:tcW w:w="2126" w:type="dxa"/>
          <w:vAlign w:val="center"/>
        </w:tcPr>
        <w:p w14:paraId="29F2FFF6" w14:textId="77777777" w:rsidR="005C11E1" w:rsidRPr="0078610B" w:rsidRDefault="005C11E1" w:rsidP="005C11E1">
          <w:pPr>
            <w:pStyle w:val="TableParagraph"/>
            <w:spacing w:before="1" w:line="174" w:lineRule="exact"/>
            <w:ind w:left="34"/>
            <w:rPr>
              <w:w w:val="105"/>
              <w:sz w:val="20"/>
              <w:szCs w:val="20"/>
            </w:rPr>
          </w:pPr>
          <w:r w:rsidRPr="0078610B">
            <w:rPr>
              <w:w w:val="105"/>
              <w:sz w:val="20"/>
              <w:szCs w:val="20"/>
            </w:rPr>
            <w:t>Revizyon Tarihi:</w:t>
          </w:r>
        </w:p>
      </w:tc>
      <w:tc>
        <w:tcPr>
          <w:tcW w:w="1942" w:type="dxa"/>
          <w:vAlign w:val="center"/>
        </w:tcPr>
        <w:p w14:paraId="6A524AB2" w14:textId="6498ADE2" w:rsidR="005C11E1" w:rsidRPr="0078610B" w:rsidRDefault="002B70B9" w:rsidP="005C11E1">
          <w:pPr>
            <w:pStyle w:val="TableParagraph"/>
            <w:spacing w:before="1" w:line="174" w:lineRule="exact"/>
            <w:ind w:left="34"/>
            <w:rPr>
              <w:w w:val="105"/>
              <w:sz w:val="20"/>
              <w:szCs w:val="20"/>
            </w:rPr>
          </w:pPr>
          <w:r>
            <w:rPr>
              <w:w w:val="105"/>
              <w:sz w:val="20"/>
              <w:szCs w:val="20"/>
            </w:rPr>
            <w:t>13.04.2022</w:t>
          </w:r>
        </w:p>
      </w:tc>
    </w:tr>
    <w:tr w:rsidR="005C11E1" w:rsidRPr="00B32954" w14:paraId="1188E799" w14:textId="77777777" w:rsidTr="002B70B9">
      <w:trPr>
        <w:trHeight w:val="340"/>
      </w:trPr>
      <w:tc>
        <w:tcPr>
          <w:tcW w:w="2508" w:type="dxa"/>
          <w:vMerge/>
        </w:tcPr>
        <w:p w14:paraId="48B1E21F" w14:textId="77777777" w:rsidR="005C11E1" w:rsidRPr="00B32954" w:rsidRDefault="005C11E1" w:rsidP="005C11E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3979" w:type="dxa"/>
          <w:vMerge/>
        </w:tcPr>
        <w:p w14:paraId="6B3C8CCF" w14:textId="77777777" w:rsidR="005C11E1" w:rsidRPr="00B32954" w:rsidRDefault="005C11E1" w:rsidP="005C11E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</w:pPr>
        </w:p>
      </w:tc>
      <w:tc>
        <w:tcPr>
          <w:tcW w:w="2126" w:type="dxa"/>
          <w:vAlign w:val="center"/>
        </w:tcPr>
        <w:p w14:paraId="0CF2E154" w14:textId="77777777" w:rsidR="005C11E1" w:rsidRPr="0078610B" w:rsidRDefault="005C11E1" w:rsidP="005C11E1">
          <w:pPr>
            <w:pStyle w:val="TableParagraph"/>
            <w:spacing w:before="1" w:line="174" w:lineRule="exact"/>
            <w:ind w:left="34"/>
            <w:rPr>
              <w:w w:val="105"/>
              <w:sz w:val="20"/>
              <w:szCs w:val="20"/>
            </w:rPr>
          </w:pPr>
          <w:r w:rsidRPr="0078610B">
            <w:rPr>
              <w:w w:val="105"/>
              <w:sz w:val="20"/>
              <w:szCs w:val="20"/>
            </w:rPr>
            <w:t>Revizyon No:</w:t>
          </w:r>
        </w:p>
      </w:tc>
      <w:tc>
        <w:tcPr>
          <w:tcW w:w="1942" w:type="dxa"/>
          <w:vAlign w:val="center"/>
        </w:tcPr>
        <w:p w14:paraId="5CBB1E5E" w14:textId="2F922620" w:rsidR="005C11E1" w:rsidRPr="0078610B" w:rsidRDefault="002B70B9" w:rsidP="005C11E1">
          <w:pPr>
            <w:pStyle w:val="TableParagraph"/>
            <w:spacing w:before="1" w:line="174" w:lineRule="exact"/>
            <w:ind w:left="34"/>
            <w:rPr>
              <w:w w:val="105"/>
              <w:sz w:val="20"/>
              <w:szCs w:val="20"/>
            </w:rPr>
          </w:pPr>
          <w:r>
            <w:rPr>
              <w:w w:val="105"/>
              <w:sz w:val="20"/>
              <w:szCs w:val="20"/>
            </w:rPr>
            <w:t>0</w:t>
          </w:r>
          <w:r w:rsidR="001549C7">
            <w:rPr>
              <w:w w:val="105"/>
              <w:sz w:val="20"/>
              <w:szCs w:val="20"/>
            </w:rPr>
            <w:t>1</w:t>
          </w:r>
        </w:p>
      </w:tc>
    </w:tr>
    <w:tr w:rsidR="005C11E1" w:rsidRPr="00B32954" w14:paraId="3B08271D" w14:textId="77777777" w:rsidTr="002B70B9">
      <w:trPr>
        <w:trHeight w:val="340"/>
      </w:trPr>
      <w:tc>
        <w:tcPr>
          <w:tcW w:w="2508" w:type="dxa"/>
          <w:vMerge/>
        </w:tcPr>
        <w:p w14:paraId="4C299E31" w14:textId="77777777" w:rsidR="005C11E1" w:rsidRPr="00B32954" w:rsidRDefault="005C11E1" w:rsidP="005C11E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3979" w:type="dxa"/>
          <w:vMerge/>
        </w:tcPr>
        <w:p w14:paraId="73A68DD2" w14:textId="77777777" w:rsidR="005C11E1" w:rsidRPr="00B32954" w:rsidRDefault="005C11E1" w:rsidP="005C11E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</w:pPr>
        </w:p>
      </w:tc>
      <w:tc>
        <w:tcPr>
          <w:tcW w:w="2126" w:type="dxa"/>
          <w:vAlign w:val="center"/>
        </w:tcPr>
        <w:p w14:paraId="579BB131" w14:textId="77777777" w:rsidR="005C11E1" w:rsidRPr="0078610B" w:rsidRDefault="005C11E1" w:rsidP="005C11E1">
          <w:pPr>
            <w:pStyle w:val="TableParagraph"/>
            <w:spacing w:before="1" w:line="174" w:lineRule="exact"/>
            <w:ind w:left="34"/>
            <w:rPr>
              <w:w w:val="105"/>
              <w:sz w:val="20"/>
              <w:szCs w:val="20"/>
            </w:rPr>
          </w:pPr>
          <w:r w:rsidRPr="0078610B">
            <w:rPr>
              <w:w w:val="105"/>
              <w:sz w:val="20"/>
              <w:szCs w:val="20"/>
            </w:rPr>
            <w:t>Toplam Sayfa Sayısı</w:t>
          </w:r>
        </w:p>
      </w:tc>
      <w:tc>
        <w:tcPr>
          <w:tcW w:w="1942" w:type="dxa"/>
          <w:vAlign w:val="center"/>
        </w:tcPr>
        <w:p w14:paraId="0AE9810B" w14:textId="4A812181" w:rsidR="005C11E1" w:rsidRPr="0078610B" w:rsidRDefault="002B70B9" w:rsidP="005C11E1">
          <w:pPr>
            <w:spacing w:before="1" w:line="174" w:lineRule="exact"/>
            <w:jc w:val="left"/>
            <w:rPr>
              <w:rFonts w:eastAsia="Times New Roman" w:cs="Times New Roman"/>
              <w:w w:val="105"/>
              <w:sz w:val="20"/>
              <w:szCs w:val="20"/>
              <w:lang w:eastAsia="en-US"/>
            </w:rPr>
          </w:pPr>
          <w:r>
            <w:rPr>
              <w:rFonts w:eastAsia="Times New Roman" w:cs="Times New Roman"/>
              <w:w w:val="105"/>
              <w:sz w:val="20"/>
              <w:szCs w:val="20"/>
              <w:lang w:eastAsia="en-US"/>
            </w:rPr>
            <w:t xml:space="preserve">                                </w:t>
          </w:r>
          <w:r w:rsidR="005C11E1" w:rsidRPr="0078610B">
            <w:rPr>
              <w:rFonts w:eastAsia="Times New Roman" w:cs="Times New Roman"/>
              <w:w w:val="105"/>
              <w:sz w:val="20"/>
              <w:szCs w:val="20"/>
              <w:lang w:eastAsia="en-US"/>
            </w:rPr>
            <w:t>3</w:t>
          </w:r>
        </w:p>
      </w:tc>
    </w:tr>
  </w:tbl>
  <w:p w14:paraId="47CC52FE" w14:textId="4265F66C" w:rsidR="005C11E1" w:rsidRDefault="005C11E1" w:rsidP="005C11E1">
    <w:pPr>
      <w:pStyle w:val="stBilgi"/>
      <w:tabs>
        <w:tab w:val="clear" w:pos="4536"/>
        <w:tab w:val="clear" w:pos="9072"/>
        <w:tab w:val="left" w:pos="17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A235F"/>
    <w:multiLevelType w:val="hybridMultilevel"/>
    <w:tmpl w:val="183E52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B3C7C"/>
    <w:multiLevelType w:val="multilevel"/>
    <w:tmpl w:val="2F1E0988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vertAlign w:val="baseline"/>
      </w:rPr>
    </w:lvl>
  </w:abstractNum>
  <w:abstractNum w:abstractNumId="2" w15:restartNumberingAfterBreak="0">
    <w:nsid w:val="34491D70"/>
    <w:multiLevelType w:val="multilevel"/>
    <w:tmpl w:val="019279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6ED5AA1"/>
    <w:multiLevelType w:val="multilevel"/>
    <w:tmpl w:val="242029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E755800"/>
    <w:multiLevelType w:val="multilevel"/>
    <w:tmpl w:val="6F50F02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5" w15:restartNumberingAfterBreak="0">
    <w:nsid w:val="41AF2796"/>
    <w:multiLevelType w:val="hybridMultilevel"/>
    <w:tmpl w:val="B546F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B6688"/>
    <w:multiLevelType w:val="multilevel"/>
    <w:tmpl w:val="04090025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63569FB"/>
    <w:multiLevelType w:val="multilevel"/>
    <w:tmpl w:val="252461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484"/>
    <w:rsid w:val="00010CE3"/>
    <w:rsid w:val="0004103D"/>
    <w:rsid w:val="000A5D00"/>
    <w:rsid w:val="000C0BB9"/>
    <w:rsid w:val="000D4EF6"/>
    <w:rsid w:val="00102C5F"/>
    <w:rsid w:val="001456FB"/>
    <w:rsid w:val="001549C7"/>
    <w:rsid w:val="0015731F"/>
    <w:rsid w:val="001A67F4"/>
    <w:rsid w:val="00224090"/>
    <w:rsid w:val="00241B43"/>
    <w:rsid w:val="0024766D"/>
    <w:rsid w:val="002B70B9"/>
    <w:rsid w:val="00396A36"/>
    <w:rsid w:val="00396AFC"/>
    <w:rsid w:val="003E6897"/>
    <w:rsid w:val="004347DB"/>
    <w:rsid w:val="00452484"/>
    <w:rsid w:val="004E007F"/>
    <w:rsid w:val="00511F70"/>
    <w:rsid w:val="005360D3"/>
    <w:rsid w:val="005909F7"/>
    <w:rsid w:val="005916B0"/>
    <w:rsid w:val="005A2B44"/>
    <w:rsid w:val="005B7223"/>
    <w:rsid w:val="005C11E1"/>
    <w:rsid w:val="005E4D63"/>
    <w:rsid w:val="00643C42"/>
    <w:rsid w:val="00650E3A"/>
    <w:rsid w:val="0067072D"/>
    <w:rsid w:val="00675745"/>
    <w:rsid w:val="00696A1E"/>
    <w:rsid w:val="006B53DA"/>
    <w:rsid w:val="00721792"/>
    <w:rsid w:val="00770EF7"/>
    <w:rsid w:val="007715B5"/>
    <w:rsid w:val="0078610B"/>
    <w:rsid w:val="008052A4"/>
    <w:rsid w:val="008A3369"/>
    <w:rsid w:val="00984321"/>
    <w:rsid w:val="00984F7D"/>
    <w:rsid w:val="0099228A"/>
    <w:rsid w:val="009B0909"/>
    <w:rsid w:val="009B2221"/>
    <w:rsid w:val="00A66107"/>
    <w:rsid w:val="00AC5BE5"/>
    <w:rsid w:val="00AE67AB"/>
    <w:rsid w:val="00AF56AF"/>
    <w:rsid w:val="00C748AA"/>
    <w:rsid w:val="00CB1339"/>
    <w:rsid w:val="00D1156B"/>
    <w:rsid w:val="00D123B2"/>
    <w:rsid w:val="00D20729"/>
    <w:rsid w:val="00D20F0B"/>
    <w:rsid w:val="00DB2D1C"/>
    <w:rsid w:val="00E9298D"/>
    <w:rsid w:val="00EA04DF"/>
    <w:rsid w:val="00F4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80803"/>
  <w15:docId w15:val="{FDED4B79-2EA8-451B-AA4E-A5B7811F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3DA"/>
    <w:pPr>
      <w:spacing w:line="360" w:lineRule="auto"/>
    </w:pPr>
    <w:rPr>
      <w:rFonts w:ascii="Times New Roman" w:hAnsi="Times New Roman"/>
    </w:rPr>
  </w:style>
  <w:style w:type="paragraph" w:styleId="Balk1">
    <w:name w:val="heading 1"/>
    <w:basedOn w:val="Normal"/>
    <w:next w:val="Normal"/>
    <w:qFormat/>
    <w:rsid w:val="000A5D00"/>
    <w:pPr>
      <w:keepNext/>
      <w:numPr>
        <w:numId w:val="6"/>
      </w:numPr>
      <w:spacing w:before="100" w:after="100"/>
      <w:outlineLvl w:val="0"/>
    </w:pPr>
    <w:rPr>
      <w:b/>
      <w:color w:val="000000"/>
    </w:rPr>
  </w:style>
  <w:style w:type="paragraph" w:styleId="Balk2">
    <w:name w:val="heading 2"/>
    <w:basedOn w:val="Normal"/>
    <w:next w:val="Normal"/>
    <w:qFormat/>
    <w:rsid w:val="000A5D00"/>
    <w:pPr>
      <w:keepNext/>
      <w:numPr>
        <w:ilvl w:val="1"/>
        <w:numId w:val="6"/>
      </w:numPr>
      <w:spacing w:before="240" w:after="60"/>
      <w:outlineLvl w:val="1"/>
    </w:pPr>
    <w:rPr>
      <w:b/>
      <w:szCs w:val="26"/>
    </w:rPr>
  </w:style>
  <w:style w:type="paragraph" w:styleId="Balk3">
    <w:name w:val="heading 3"/>
    <w:basedOn w:val="Normal"/>
    <w:next w:val="Normal"/>
    <w:pPr>
      <w:keepNext/>
      <w:numPr>
        <w:ilvl w:val="2"/>
        <w:numId w:val="6"/>
      </w:numPr>
      <w:spacing w:before="240" w:after="60"/>
      <w:outlineLvl w:val="2"/>
    </w:pPr>
    <w:rPr>
      <w:b/>
      <w:sz w:val="26"/>
      <w:szCs w:val="26"/>
    </w:rPr>
  </w:style>
  <w:style w:type="paragraph" w:styleId="Balk4">
    <w:name w:val="heading 4"/>
    <w:basedOn w:val="Normal"/>
    <w:next w:val="Normal"/>
    <w:pPr>
      <w:keepNext/>
      <w:numPr>
        <w:ilvl w:val="3"/>
        <w:numId w:val="6"/>
      </w:numPr>
      <w:spacing w:before="240" w:after="60"/>
      <w:outlineLvl w:val="3"/>
    </w:pPr>
    <w:rPr>
      <w:b/>
      <w:sz w:val="28"/>
      <w:szCs w:val="28"/>
    </w:rPr>
  </w:style>
  <w:style w:type="paragraph" w:styleId="Balk5">
    <w:name w:val="heading 5"/>
    <w:basedOn w:val="Normal"/>
    <w:next w:val="Normal"/>
    <w:pPr>
      <w:numPr>
        <w:ilvl w:val="4"/>
        <w:numId w:val="6"/>
      </w:numPr>
      <w:spacing w:before="240" w:after="60"/>
      <w:outlineLvl w:val="4"/>
    </w:pPr>
    <w:rPr>
      <w:b/>
      <w:i/>
      <w:sz w:val="26"/>
      <w:szCs w:val="26"/>
    </w:rPr>
  </w:style>
  <w:style w:type="paragraph" w:styleId="Balk6">
    <w:name w:val="heading 6"/>
    <w:basedOn w:val="Normal"/>
    <w:next w:val="Normal"/>
    <w:pPr>
      <w:numPr>
        <w:ilvl w:val="5"/>
        <w:numId w:val="6"/>
      </w:numPr>
      <w:spacing w:before="240" w:after="60"/>
      <w:outlineLvl w:val="5"/>
    </w:pPr>
    <w:rPr>
      <w:b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A5D00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A5D00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5D00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spacing w:after="60"/>
    </w:pPr>
    <w:rPr>
      <w:b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84F7D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4F7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84F7D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984F7D"/>
  </w:style>
  <w:style w:type="paragraph" w:styleId="AltBilgi">
    <w:name w:val="footer"/>
    <w:basedOn w:val="Normal"/>
    <w:link w:val="AltBilgiChar"/>
    <w:uiPriority w:val="99"/>
    <w:unhideWhenUsed/>
    <w:rsid w:val="00984F7D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984F7D"/>
  </w:style>
  <w:style w:type="character" w:customStyle="1" w:styleId="Balk7Char">
    <w:name w:val="Başlık 7 Char"/>
    <w:basedOn w:val="VarsaylanParagrafYazTipi"/>
    <w:link w:val="Balk7"/>
    <w:uiPriority w:val="9"/>
    <w:semiHidden/>
    <w:rsid w:val="000A5D0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A5D0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5D0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1">
    <w:name w:val="toc 1"/>
    <w:basedOn w:val="Normal"/>
    <w:next w:val="Normal"/>
    <w:autoRedefine/>
    <w:uiPriority w:val="39"/>
    <w:unhideWhenUsed/>
    <w:rsid w:val="006B53DA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6B53DA"/>
    <w:pPr>
      <w:spacing w:after="100"/>
      <w:ind w:left="240"/>
    </w:pPr>
  </w:style>
  <w:style w:type="character" w:styleId="Kpr">
    <w:name w:val="Hyperlink"/>
    <w:basedOn w:val="VarsaylanParagrafYazTipi"/>
    <w:uiPriority w:val="99"/>
    <w:unhideWhenUsed/>
    <w:rsid w:val="006B53DA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7072D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EA0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49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dcterms:created xsi:type="dcterms:W3CDTF">2022-04-13T17:40:00Z</dcterms:created>
  <dcterms:modified xsi:type="dcterms:W3CDTF">2022-04-13T17:40:00Z</dcterms:modified>
</cp:coreProperties>
</file>