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E6347C" w:rsidRDefault="001E004E" w:rsidP="00750611">
      <w:pPr>
        <w:spacing w:line="360" w:lineRule="auto"/>
        <w:rPr>
          <w:sz w:val="22"/>
          <w:szCs w:val="22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E6347C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E6347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E6347C">
              <w:rPr>
                <w:b/>
                <w:sz w:val="22"/>
                <w:szCs w:val="22"/>
              </w:rPr>
              <w:t xml:space="preserve">Standart 2: </w:t>
            </w:r>
            <w:r w:rsidRPr="00E6347C">
              <w:rPr>
                <w:sz w:val="22"/>
                <w:szCs w:val="22"/>
              </w:rPr>
              <w:t>Misyon, Organizasyon Yapısı ve Görevler</w:t>
            </w:r>
            <w:r w:rsidRPr="00E634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E6347C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E6347C">
              <w:rPr>
                <w:b/>
                <w:sz w:val="22"/>
                <w:szCs w:val="22"/>
              </w:rPr>
              <w:t xml:space="preserve">2.2. </w:t>
            </w:r>
            <w:r w:rsidRPr="00E6347C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E6347C">
              <w:rPr>
                <w:sz w:val="22"/>
                <w:szCs w:val="22"/>
              </w:rPr>
              <w:t>D</w:t>
            </w:r>
            <w:r w:rsidRPr="00E6347C">
              <w:rPr>
                <w:sz w:val="22"/>
                <w:szCs w:val="22"/>
              </w:rPr>
              <w:t>uyurulmalıdır.</w:t>
            </w:r>
          </w:p>
        </w:tc>
      </w:tr>
      <w:tr w:rsidR="00881B5C" w:rsidRPr="00E6347C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E6347C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E6347C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9216510" w:rsidR="00412572" w:rsidRPr="00E6347C" w:rsidRDefault="005C7081" w:rsidP="005C7081">
            <w:pPr>
              <w:rPr>
                <w:sz w:val="22"/>
                <w:szCs w:val="22"/>
              </w:rPr>
            </w:pPr>
            <w:r w:rsidRPr="00E6347C">
              <w:rPr>
                <w:sz w:val="22"/>
                <w:szCs w:val="22"/>
              </w:rPr>
              <w:t>Merkez Müdürü</w:t>
            </w:r>
          </w:p>
        </w:tc>
      </w:tr>
      <w:tr w:rsidR="00881B5C" w:rsidRPr="00E6347C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E6347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E6347C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7B6FBD49" w:rsidR="00881B5C" w:rsidRPr="00E6347C" w:rsidRDefault="00570EB6" w:rsidP="00881B5C">
            <w:pPr>
              <w:rPr>
                <w:sz w:val="22"/>
                <w:szCs w:val="22"/>
              </w:rPr>
            </w:pPr>
            <w:r w:rsidRPr="00E6347C">
              <w:rPr>
                <w:sz w:val="22"/>
                <w:szCs w:val="22"/>
              </w:rPr>
              <w:t>-</w:t>
            </w:r>
          </w:p>
        </w:tc>
      </w:tr>
      <w:tr w:rsidR="00A30D08" w:rsidRPr="00E6347C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E6347C" w:rsidRDefault="00A30D08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  <w:r w:rsidRPr="00E6347C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E6347C" w:rsidRDefault="001165A4">
            <w:pPr>
              <w:rPr>
                <w:sz w:val="22"/>
                <w:szCs w:val="22"/>
                <w:highlight w:val="yellow"/>
              </w:rPr>
            </w:pPr>
            <w:r w:rsidRPr="00E6347C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E6347C" w:rsidRDefault="007106C8" w:rsidP="00750611">
      <w:pPr>
        <w:spacing w:line="360" w:lineRule="auto"/>
        <w:rPr>
          <w:sz w:val="22"/>
          <w:szCs w:val="22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E6347C" w14:paraId="4B7214EE" w14:textId="77777777" w:rsidTr="00D57B27">
        <w:trPr>
          <w:trHeight w:val="437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E6347C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6347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4DB20183" w14:textId="1667CE88" w:rsidR="002E749F" w:rsidRPr="00E6347C" w:rsidRDefault="002E749F" w:rsidP="00F842CB">
            <w:pPr>
              <w:jc w:val="both"/>
              <w:rPr>
                <w:sz w:val="22"/>
                <w:szCs w:val="22"/>
              </w:rPr>
            </w:pPr>
          </w:p>
          <w:p w14:paraId="440DE439" w14:textId="4C5D625B" w:rsidR="00AB12EB" w:rsidRPr="00E6347C" w:rsidRDefault="00AB12EB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657 sayılı Devlet Memurları Kanunu hükümleri ile Tekirdağ Namık Kemal Üniversitesi üst yönetimi tarafından belirlenen amaç ve ilkelere uygun olarak hareket etmek</w:t>
            </w:r>
          </w:p>
          <w:p w14:paraId="35931C71" w14:textId="6DB142BC" w:rsidR="00A17FC0" w:rsidRPr="00E6347C" w:rsidRDefault="00A17FC0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Hasta hayvan ve çalışanlara yönelik rad</w:t>
            </w:r>
            <w:r w:rsidR="00DD26C0" w:rsidRPr="00E6347C">
              <w:rPr>
                <w:rFonts w:ascii="Times New Roman" w:hAnsi="Times New Roman" w:cs="Times New Roman"/>
              </w:rPr>
              <w:t>y</w:t>
            </w:r>
            <w:r w:rsidRPr="00E6347C">
              <w:rPr>
                <w:rFonts w:ascii="Times New Roman" w:hAnsi="Times New Roman" w:cs="Times New Roman"/>
              </w:rPr>
              <w:t>asyon güvenlik önlemlerini al</w:t>
            </w:r>
            <w:r w:rsidR="00CD2956" w:rsidRPr="00E6347C">
              <w:rPr>
                <w:rFonts w:ascii="Times New Roman" w:hAnsi="Times New Roman" w:cs="Times New Roman"/>
              </w:rPr>
              <w:t>mak,</w:t>
            </w:r>
          </w:p>
          <w:p w14:paraId="751D53CF" w14:textId="00EE27F7" w:rsidR="00A17FC0" w:rsidRPr="00E6347C" w:rsidRDefault="00A17FC0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Tıbbi görüntüleme cihazı ve ortamı radyografik incelemeye hazır hale getirir cihazların kalibrasyonunu kontrol eder bakım ve tamirinin zamanında yapılması için ilgililere</w:t>
            </w:r>
            <w:r w:rsidR="00CD2956" w:rsidRPr="00E6347C">
              <w:rPr>
                <w:rFonts w:ascii="Times New Roman" w:hAnsi="Times New Roman" w:cs="Times New Roman"/>
              </w:rPr>
              <w:t xml:space="preserve"> </w:t>
            </w:r>
            <w:r w:rsidR="00F229CD" w:rsidRPr="00E6347C">
              <w:rPr>
                <w:rFonts w:ascii="Times New Roman" w:hAnsi="Times New Roman" w:cs="Times New Roman"/>
              </w:rPr>
              <w:t>bilgi</w:t>
            </w:r>
            <w:r w:rsidRPr="00E6347C">
              <w:rPr>
                <w:rFonts w:ascii="Times New Roman" w:hAnsi="Times New Roman" w:cs="Times New Roman"/>
              </w:rPr>
              <w:t xml:space="preserve"> ver</w:t>
            </w:r>
            <w:r w:rsidR="00CD2956" w:rsidRPr="00E6347C">
              <w:rPr>
                <w:rFonts w:ascii="Times New Roman" w:hAnsi="Times New Roman" w:cs="Times New Roman"/>
              </w:rPr>
              <w:t>mek,</w:t>
            </w:r>
          </w:p>
          <w:p w14:paraId="782FAE1F" w14:textId="49B79527" w:rsidR="00A17FC0" w:rsidRPr="00E6347C" w:rsidRDefault="00A17FC0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Radyografik inceleme öncesinde hasta olan hayvanı hazırla</w:t>
            </w:r>
            <w:r w:rsidR="00CD2956" w:rsidRPr="00E6347C">
              <w:rPr>
                <w:rFonts w:ascii="Times New Roman" w:hAnsi="Times New Roman" w:cs="Times New Roman"/>
              </w:rPr>
              <w:t>mak,</w:t>
            </w:r>
          </w:p>
          <w:p w14:paraId="17789C26" w14:textId="64C43E7F" w:rsidR="00A17FC0" w:rsidRPr="00E6347C" w:rsidRDefault="00A17FC0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Film bany</w:t>
            </w:r>
            <w:r w:rsidR="00F229CD" w:rsidRPr="00E6347C">
              <w:rPr>
                <w:rFonts w:ascii="Times New Roman" w:hAnsi="Times New Roman" w:cs="Times New Roman"/>
              </w:rPr>
              <w:t>o</w:t>
            </w:r>
            <w:r w:rsidRPr="00E6347C">
              <w:rPr>
                <w:rFonts w:ascii="Times New Roman" w:hAnsi="Times New Roman" w:cs="Times New Roman"/>
              </w:rPr>
              <w:t>/baskı işlemlerini ve görüntülerin elektronik kayıt işlemlerini yap</w:t>
            </w:r>
            <w:r w:rsidR="00CD2956" w:rsidRPr="00E6347C">
              <w:rPr>
                <w:rFonts w:ascii="Times New Roman" w:hAnsi="Times New Roman" w:cs="Times New Roman"/>
              </w:rPr>
              <w:t>mak,</w:t>
            </w:r>
          </w:p>
          <w:p w14:paraId="2A51A15B" w14:textId="4C07DB78" w:rsidR="00A17FC0" w:rsidRPr="00E6347C" w:rsidRDefault="00A17FC0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 xml:space="preserve">Radyoaktif atıkların muhafazasında ve </w:t>
            </w:r>
            <w:r w:rsidR="00F229CD" w:rsidRPr="00E6347C">
              <w:rPr>
                <w:rFonts w:ascii="Times New Roman" w:hAnsi="Times New Roman" w:cs="Times New Roman"/>
              </w:rPr>
              <w:t>imha edilmesinde görev al</w:t>
            </w:r>
            <w:r w:rsidR="00CD2956" w:rsidRPr="00E6347C">
              <w:rPr>
                <w:rFonts w:ascii="Times New Roman" w:hAnsi="Times New Roman" w:cs="Times New Roman"/>
              </w:rPr>
              <w:t>mak,</w:t>
            </w:r>
          </w:p>
          <w:p w14:paraId="26287022" w14:textId="655D03BF" w:rsidR="00F229CD" w:rsidRPr="00E6347C" w:rsidRDefault="00F229CD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Uzman eşliğinde radyonüklit görüntüleme ve floroskopi yap</w:t>
            </w:r>
            <w:r w:rsidR="00CD2956" w:rsidRPr="00E6347C">
              <w:rPr>
                <w:rFonts w:ascii="Times New Roman" w:hAnsi="Times New Roman" w:cs="Times New Roman"/>
              </w:rPr>
              <w:t>mak,</w:t>
            </w:r>
          </w:p>
          <w:p w14:paraId="27651708" w14:textId="349E726D" w:rsidR="00F229CD" w:rsidRPr="00E6347C" w:rsidRDefault="00F229CD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Hekim eşliğinde radyoopak madde enjeksiyonu yap</w:t>
            </w:r>
            <w:r w:rsidR="00CD2956" w:rsidRPr="00E6347C">
              <w:rPr>
                <w:rFonts w:ascii="Times New Roman" w:hAnsi="Times New Roman" w:cs="Times New Roman"/>
              </w:rPr>
              <w:t>mak,</w:t>
            </w:r>
          </w:p>
          <w:p w14:paraId="42348637" w14:textId="2572599B" w:rsidR="00AB12EB" w:rsidRPr="00E6347C" w:rsidRDefault="00AB12EB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 xml:space="preserve">Hasta </w:t>
            </w:r>
            <w:r w:rsidR="00F229CD" w:rsidRPr="00E6347C">
              <w:rPr>
                <w:rFonts w:ascii="Times New Roman" w:hAnsi="Times New Roman" w:cs="Times New Roman"/>
              </w:rPr>
              <w:t xml:space="preserve">olan hayvan </w:t>
            </w:r>
            <w:r w:rsidRPr="00E6347C">
              <w:rPr>
                <w:rFonts w:ascii="Times New Roman" w:hAnsi="Times New Roman" w:cs="Times New Roman"/>
              </w:rPr>
              <w:t>ve çalışana yönelik radyasyon güvenlik önlemlerini uygula</w:t>
            </w:r>
            <w:r w:rsidR="00CD2956" w:rsidRPr="00E6347C">
              <w:rPr>
                <w:rFonts w:ascii="Times New Roman" w:hAnsi="Times New Roman" w:cs="Times New Roman"/>
              </w:rPr>
              <w:t>mak,</w:t>
            </w:r>
          </w:p>
          <w:p w14:paraId="51955623" w14:textId="6939C08D" w:rsidR="00AB12EB" w:rsidRPr="00E6347C" w:rsidRDefault="00AB12EB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Radyografik inceleme öncesinde hasta</w:t>
            </w:r>
            <w:r w:rsidR="00F229CD" w:rsidRPr="00E6347C">
              <w:rPr>
                <w:rFonts w:ascii="Times New Roman" w:hAnsi="Times New Roman" w:cs="Times New Roman"/>
              </w:rPr>
              <w:t xml:space="preserve"> olan hayvanı</w:t>
            </w:r>
            <w:r w:rsidRPr="00E6347C">
              <w:rPr>
                <w:rFonts w:ascii="Times New Roman" w:hAnsi="Times New Roman" w:cs="Times New Roman"/>
              </w:rPr>
              <w:t xml:space="preserve"> hazırlar ve bilgi ver</w:t>
            </w:r>
            <w:r w:rsidR="00CD2956" w:rsidRPr="00E6347C">
              <w:rPr>
                <w:rFonts w:ascii="Times New Roman" w:hAnsi="Times New Roman" w:cs="Times New Roman"/>
              </w:rPr>
              <w:t>mek,</w:t>
            </w:r>
          </w:p>
          <w:p w14:paraId="414AB373" w14:textId="67AFD0C1" w:rsidR="00AB12EB" w:rsidRPr="00E6347C" w:rsidRDefault="00AB12EB" w:rsidP="002E749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Doğrudan ya da radyoopaklı radyografi, bilgisayarlı tomografi ve kemik mineral dansitometre çekimleri ile manyetik rezonans ve anjiyografi görüntülemesi yap</w:t>
            </w:r>
            <w:r w:rsidR="00CD2956" w:rsidRPr="00E6347C">
              <w:rPr>
                <w:rFonts w:ascii="Times New Roman" w:hAnsi="Times New Roman" w:cs="Times New Roman"/>
              </w:rPr>
              <w:t>mak,</w:t>
            </w:r>
          </w:p>
          <w:p w14:paraId="10D11030" w14:textId="4B67408E" w:rsidR="00F229CD" w:rsidRPr="00E6347C" w:rsidRDefault="00AB12EB" w:rsidP="00F229C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Film banyo/baskı işlemleri ve görüntülerin elektronik kayıt işlemlerini yap</w:t>
            </w:r>
            <w:r w:rsidR="00CD2956" w:rsidRPr="00E6347C">
              <w:rPr>
                <w:rFonts w:ascii="Times New Roman" w:hAnsi="Times New Roman" w:cs="Times New Roman"/>
              </w:rPr>
              <w:t>mak,</w:t>
            </w:r>
          </w:p>
          <w:p w14:paraId="72BFDC76" w14:textId="1436AE80" w:rsidR="00B96DD5" w:rsidRPr="00E6347C" w:rsidRDefault="00B96DD5" w:rsidP="00F229C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E6347C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E6347C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E6347C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1B655AA3" w:rsidR="00B96DD5" w:rsidRPr="00E6347C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 xml:space="preserve">Çevre mevzuatı, İş sağlığı ve Güvenliği </w:t>
            </w:r>
            <w:r w:rsidR="00B96DD5" w:rsidRPr="00E6347C">
              <w:rPr>
                <w:rFonts w:ascii="Times New Roman" w:hAnsi="Times New Roman" w:cs="Times New Roman"/>
              </w:rPr>
              <w:t>mevzuatı gerekliliklerinin yerine getirmek, sıfır atık anlayışı içerisinde faaliyetlerini sürdürmek,</w:t>
            </w:r>
          </w:p>
          <w:p w14:paraId="11C5A73D" w14:textId="741EA1BF" w:rsidR="003F3D89" w:rsidRPr="00E6347C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E9311A" w:rsidRPr="00E6347C">
              <w:rPr>
                <w:rFonts w:ascii="Times New Roman" w:hAnsi="Times New Roman" w:cs="Times New Roman"/>
              </w:rPr>
              <w:t>Merkez Müdürü</w:t>
            </w:r>
            <w:r w:rsidRPr="00E6347C">
              <w:rPr>
                <w:rFonts w:ascii="Times New Roman" w:hAnsi="Times New Roman" w:cs="Times New Roman"/>
              </w:rPr>
              <w:t xml:space="preserve"> tarafından kendisine verilen diğer görevleri yapmak, </w:t>
            </w:r>
          </w:p>
          <w:p w14:paraId="79D3BFCD" w14:textId="5881389F" w:rsidR="00A67646" w:rsidRPr="00E6347C" w:rsidRDefault="00570EB6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6347C">
              <w:rPr>
                <w:rFonts w:ascii="Times New Roman" w:hAnsi="Times New Roman" w:cs="Times New Roman"/>
              </w:rPr>
              <w:t>Tıbbi Görüntüleme Teknikeri</w:t>
            </w:r>
            <w:r w:rsidR="003F3D89" w:rsidRPr="00E6347C">
              <w:rPr>
                <w:rFonts w:ascii="Times New Roman" w:hAnsi="Times New Roman" w:cs="Times New Roman"/>
              </w:rPr>
              <w:t xml:space="preserve"> yukarıda yazılı olan bütün bu görevleri kanunlara ve yönetmeliklere uygun olarak yerine getirirken </w:t>
            </w:r>
            <w:r w:rsidR="00E9311A" w:rsidRPr="00E6347C">
              <w:rPr>
                <w:rFonts w:ascii="Times New Roman" w:hAnsi="Times New Roman" w:cs="Times New Roman"/>
              </w:rPr>
              <w:t>Merkez Müdürüne</w:t>
            </w:r>
            <w:r w:rsidR="003F3D89" w:rsidRPr="00E6347C">
              <w:rPr>
                <w:rFonts w:ascii="Times New Roman" w:hAnsi="Times New Roman" w:cs="Times New Roman"/>
              </w:rPr>
              <w:t xml:space="preserve"> karşı sorumludur.</w:t>
            </w:r>
          </w:p>
        </w:tc>
      </w:tr>
      <w:tr w:rsidR="006B418A" w:rsidRPr="00E6347C" w14:paraId="0BB2D1FF" w14:textId="77777777" w:rsidTr="00916F9F">
        <w:trPr>
          <w:trHeight w:val="870"/>
        </w:trPr>
        <w:tc>
          <w:tcPr>
            <w:tcW w:w="2405" w:type="dxa"/>
          </w:tcPr>
          <w:p w14:paraId="037D32E4" w14:textId="749A3FB8" w:rsidR="006B418A" w:rsidRPr="00E6347C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634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525AF355" w:rsidR="006B418A" w:rsidRPr="00E6347C" w:rsidRDefault="00067E5F" w:rsidP="00881A7D">
            <w:pPr>
              <w:jc w:val="both"/>
              <w:rPr>
                <w:sz w:val="22"/>
                <w:szCs w:val="22"/>
              </w:rPr>
            </w:pPr>
            <w:r w:rsidRPr="00E6347C">
              <w:rPr>
                <w:sz w:val="22"/>
                <w:szCs w:val="22"/>
              </w:rPr>
              <w:t xml:space="preserve">Yetki ve sorumlulukları içerisinde yapılan iş ve işlemlere ilişkin, rektörlüğe ve diğer </w:t>
            </w:r>
            <w:r w:rsidR="009B0632" w:rsidRPr="00E6347C">
              <w:rPr>
                <w:sz w:val="22"/>
                <w:szCs w:val="22"/>
              </w:rPr>
              <w:t>birimlere/</w:t>
            </w:r>
            <w:r w:rsidRPr="00E6347C">
              <w:rPr>
                <w:sz w:val="22"/>
                <w:szCs w:val="22"/>
              </w:rPr>
              <w:t>kurumlara</w:t>
            </w:r>
            <w:r w:rsidR="009B0632" w:rsidRPr="00E6347C">
              <w:rPr>
                <w:sz w:val="22"/>
                <w:szCs w:val="22"/>
              </w:rPr>
              <w:t>, kamuoyuna</w:t>
            </w:r>
            <w:r w:rsidRPr="00E6347C">
              <w:rPr>
                <w:sz w:val="22"/>
                <w:szCs w:val="22"/>
              </w:rPr>
              <w:t xml:space="preserve"> sunulmaya hazır, kontrol edilmiş her türlü yazı, belge, form, liste, onay, duyuru, rapor, plan, araştırma, analiz, sözlü bilgilendirme.</w:t>
            </w:r>
          </w:p>
        </w:tc>
      </w:tr>
      <w:tr w:rsidR="006B418A" w:rsidRPr="00E6347C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E6347C" w:rsidRDefault="006B418A" w:rsidP="00E36C4C">
            <w:pPr>
              <w:jc w:val="both"/>
              <w:rPr>
                <w:b/>
                <w:bCs/>
                <w:sz w:val="22"/>
                <w:szCs w:val="22"/>
              </w:rPr>
            </w:pPr>
            <w:r w:rsidRPr="00E6347C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E6347C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004E9819" w14:textId="7D39A862" w:rsidR="00E9073C" w:rsidRPr="00E6347C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</w:t>
            </w:r>
            <w:r w:rsidR="00044BBA" w:rsidRPr="00E6347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22DB665" w14:textId="4A957630" w:rsidR="00E9073C" w:rsidRPr="00E6347C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sz w:val="22"/>
                <w:szCs w:val="22"/>
              </w:rPr>
              <w:t>-Yazılı ve sözlü emirler</w:t>
            </w:r>
            <w:r w:rsidR="00044BBA" w:rsidRPr="00E6347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EBB2D31" w14:textId="77777777" w:rsidR="00E9073C" w:rsidRPr="00E6347C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3DC17343" w14:textId="77777777" w:rsidR="00E9073C" w:rsidRPr="00E6347C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432A32AA" w14:textId="2A46A15C" w:rsidR="00940000" w:rsidRPr="00E6347C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E6347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Merkez Müdürü, ilgili </w:t>
            </w:r>
            <w:r w:rsidR="00F229CD" w:rsidRPr="00E6347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iç ve </w:t>
            </w:r>
            <w:r w:rsidRPr="00E6347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dış paydaşlar.</w:t>
            </w:r>
          </w:p>
          <w:p w14:paraId="74B06DC0" w14:textId="47EBFBDD" w:rsidR="00E9073C" w:rsidRPr="00E6347C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59B73D4" w14:textId="2F6F518B" w:rsidR="006B418A" w:rsidRPr="00E6347C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6347C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6B418A" w:rsidRPr="00E6347C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E6347C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602D6F98" w:rsidR="006B418A" w:rsidRPr="00E6347C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6347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Merkez Müdürü, ilgili</w:t>
            </w:r>
            <w:r w:rsidR="00F229CD" w:rsidRPr="00E6347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iç ve</w:t>
            </w:r>
            <w:r w:rsidRPr="00E6347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dış paydaşlar.</w:t>
            </w:r>
          </w:p>
        </w:tc>
      </w:tr>
      <w:tr w:rsidR="006B418A" w:rsidRPr="00E6347C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E6347C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b/>
                <w:sz w:val="22"/>
                <w:szCs w:val="22"/>
              </w:rPr>
              <w:t>İLETİŞİM ŞEKLİ</w:t>
            </w:r>
          </w:p>
        </w:tc>
        <w:tc>
          <w:tcPr>
            <w:tcW w:w="7579" w:type="dxa"/>
          </w:tcPr>
          <w:p w14:paraId="09695773" w14:textId="77777777" w:rsidR="006B418A" w:rsidRPr="00E6347C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6CF07C27" w14:textId="62E3E873" w:rsidR="006B418A" w:rsidRPr="00E6347C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sz w:val="22"/>
                <w:szCs w:val="22"/>
              </w:rPr>
              <w:t xml:space="preserve">toplantı </w:t>
            </w:r>
            <w:r w:rsidR="007A2AFD" w:rsidRPr="00E6347C">
              <w:rPr>
                <w:rFonts w:ascii="Times New Roman" w:hAnsi="Times New Roman" w:cs="Times New Roman"/>
                <w:sz w:val="22"/>
                <w:szCs w:val="22"/>
              </w:rPr>
              <w:t>(yüz yüze/online)</w:t>
            </w:r>
            <w:r w:rsidR="00044BBA" w:rsidRPr="00E634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B418A" w:rsidRPr="00E6347C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E6347C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579" w:type="dxa"/>
          </w:tcPr>
          <w:p w14:paraId="0DB0DF24" w14:textId="361D2253" w:rsidR="006B418A" w:rsidRPr="00E6347C" w:rsidRDefault="00557B4B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  <w:r w:rsidR="00044BBA" w:rsidRPr="00E634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229CD" w:rsidRPr="00E6347C">
              <w:rPr>
                <w:rFonts w:ascii="Times New Roman" w:hAnsi="Times New Roman" w:cs="Times New Roman"/>
                <w:sz w:val="22"/>
                <w:szCs w:val="22"/>
              </w:rPr>
              <w:t xml:space="preserve"> Görüntüleme servisi</w:t>
            </w:r>
          </w:p>
        </w:tc>
      </w:tr>
      <w:tr w:rsidR="006B418A" w:rsidRPr="00E6347C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E6347C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b/>
                <w:sz w:val="22"/>
                <w:szCs w:val="22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E6347C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47C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E6347C" w:rsidRDefault="007106C8" w:rsidP="00750611">
      <w:pPr>
        <w:spacing w:line="360" w:lineRule="auto"/>
        <w:rPr>
          <w:sz w:val="22"/>
          <w:szCs w:val="22"/>
        </w:rPr>
      </w:pPr>
    </w:p>
    <w:sectPr w:rsidR="007106C8" w:rsidRPr="00E6347C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418E" w14:textId="77777777" w:rsidR="0030662B" w:rsidRDefault="0030662B">
      <w:r>
        <w:separator/>
      </w:r>
    </w:p>
  </w:endnote>
  <w:endnote w:type="continuationSeparator" w:id="0">
    <w:p w14:paraId="53778479" w14:textId="77777777" w:rsidR="0030662B" w:rsidRDefault="0030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7C1C" w14:textId="77777777" w:rsidR="00CF461B" w:rsidRDefault="00CF46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761B96D6" w:rsidR="00F10AA1" w:rsidRDefault="00CF46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4BC9DC47" w:rsidR="00F10AA1" w:rsidRDefault="00CF461B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1D64" w14:textId="77777777" w:rsidR="00CF461B" w:rsidRDefault="00CF46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5CC4" w14:textId="77777777" w:rsidR="0030662B" w:rsidRDefault="0030662B">
      <w:r>
        <w:separator/>
      </w:r>
    </w:p>
  </w:footnote>
  <w:footnote w:type="continuationSeparator" w:id="0">
    <w:p w14:paraId="39E0DCD4" w14:textId="77777777" w:rsidR="0030662B" w:rsidRDefault="0030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B46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B460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B460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B4602" w:rsidRDefault="007106C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B4602" w:rsidRDefault="00BD2A2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 xml:space="preserve">TEKİRDAĞ </w:t>
          </w:r>
          <w:r w:rsidR="007106C8" w:rsidRPr="005B460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5B4602" w:rsidRDefault="007106C8" w:rsidP="007106C8">
          <w:pPr>
            <w:jc w:val="center"/>
            <w:rPr>
              <w:b/>
              <w:sz w:val="28"/>
              <w:szCs w:val="28"/>
            </w:rPr>
          </w:pPr>
          <w:r w:rsidRPr="005B460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B46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BF6E6E3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PAGE</w:instrText>
          </w:r>
          <w:r w:rsidRPr="005B4602">
            <w:rPr>
              <w:rFonts w:eastAsia="Calibri"/>
            </w:rPr>
            <w:fldChar w:fldCharType="separate"/>
          </w:r>
          <w:r w:rsidR="00074CEF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  <w:r w:rsidRPr="005B4602">
            <w:rPr>
              <w:rFonts w:eastAsia="Calibri"/>
            </w:rPr>
            <w:t xml:space="preserve"> / </w:t>
          </w: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NUMPAGES</w:instrText>
          </w:r>
          <w:r w:rsidRPr="005B4602">
            <w:rPr>
              <w:rFonts w:eastAsia="Calibri"/>
            </w:rPr>
            <w:fldChar w:fldCharType="separate"/>
          </w:r>
          <w:r w:rsidR="00074CEF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</w:p>
      </w:tc>
    </w:tr>
    <w:tr w:rsidR="007106C8" w:rsidRPr="005B46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49171D9" w:rsidR="007106C8" w:rsidRPr="005B4602" w:rsidRDefault="00BA6FCE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EYS-GT-</w:t>
          </w:r>
          <w:r w:rsidR="00D633BE">
            <w:rPr>
              <w:rFonts w:eastAsia="Calibri"/>
            </w:rPr>
            <w:t>450</w:t>
          </w:r>
        </w:p>
      </w:tc>
    </w:tr>
    <w:tr w:rsidR="007106C8" w:rsidRPr="005B46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79627BF" w:rsidR="007106C8" w:rsidRPr="005B4602" w:rsidRDefault="00D633B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29.12.2023</w:t>
          </w:r>
        </w:p>
      </w:tc>
    </w:tr>
    <w:tr w:rsidR="007106C8" w:rsidRPr="005B46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00</w:t>
          </w:r>
        </w:p>
      </w:tc>
    </w:tr>
    <w:tr w:rsidR="007106C8" w:rsidRPr="005B46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B460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-</w:t>
          </w:r>
        </w:p>
      </w:tc>
    </w:tr>
    <w:tr w:rsidR="000D6934" w:rsidRPr="005B46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27582E19" w:rsidR="00FE5129" w:rsidRPr="005B4602" w:rsidRDefault="00421E11" w:rsidP="00421E11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VETERİNER SAĞLIK UYGULAMA VE ARAŞTIRMA MERKEZİ </w:t>
          </w:r>
        </w:p>
        <w:p w14:paraId="73CC6102" w14:textId="0EFD58F9" w:rsidR="00B96DD5" w:rsidRPr="005B4602" w:rsidRDefault="00AB12E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TIBBİ GÖRÜNTÜLEME TEKNİKER</w:t>
          </w:r>
          <w:r w:rsidR="006974FD">
            <w:rPr>
              <w:rFonts w:ascii="Times New Roman" w:hAnsi="Times New Roman" w:cs="Times New Roman"/>
              <w:b/>
              <w:sz w:val="28"/>
              <w:szCs w:val="28"/>
            </w:rPr>
            <w:t>İ</w:t>
          </w:r>
        </w:p>
        <w:p w14:paraId="52A77080" w14:textId="66098425" w:rsidR="000D6934" w:rsidRPr="005B46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460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6EAE" w14:textId="77777777" w:rsidR="00CF461B" w:rsidRDefault="00CF46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203553">
    <w:abstractNumId w:val="3"/>
  </w:num>
  <w:num w:numId="2" w16cid:durableId="1180465015">
    <w:abstractNumId w:val="2"/>
  </w:num>
  <w:num w:numId="3" w16cid:durableId="433942732">
    <w:abstractNumId w:val="5"/>
  </w:num>
  <w:num w:numId="4" w16cid:durableId="2116443544">
    <w:abstractNumId w:val="4"/>
  </w:num>
  <w:num w:numId="5" w16cid:durableId="511147731">
    <w:abstractNumId w:val="0"/>
  </w:num>
  <w:num w:numId="6" w16cid:durableId="75189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44BBA"/>
    <w:rsid w:val="00067E5F"/>
    <w:rsid w:val="00074CEF"/>
    <w:rsid w:val="00080410"/>
    <w:rsid w:val="000D6934"/>
    <w:rsid w:val="000F58C4"/>
    <w:rsid w:val="001165A4"/>
    <w:rsid w:val="00170328"/>
    <w:rsid w:val="00171011"/>
    <w:rsid w:val="0017102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57406"/>
    <w:rsid w:val="002B6E1D"/>
    <w:rsid w:val="002E41A2"/>
    <w:rsid w:val="002E749F"/>
    <w:rsid w:val="00300CA2"/>
    <w:rsid w:val="0030662B"/>
    <w:rsid w:val="00323A18"/>
    <w:rsid w:val="0033445E"/>
    <w:rsid w:val="00334636"/>
    <w:rsid w:val="00364032"/>
    <w:rsid w:val="00373779"/>
    <w:rsid w:val="003777AA"/>
    <w:rsid w:val="003B6047"/>
    <w:rsid w:val="003E7E69"/>
    <w:rsid w:val="003F3D89"/>
    <w:rsid w:val="00412572"/>
    <w:rsid w:val="00421E11"/>
    <w:rsid w:val="0043387B"/>
    <w:rsid w:val="0045201F"/>
    <w:rsid w:val="0045511C"/>
    <w:rsid w:val="00455F40"/>
    <w:rsid w:val="004770BA"/>
    <w:rsid w:val="004911F7"/>
    <w:rsid w:val="004A0709"/>
    <w:rsid w:val="004B42F3"/>
    <w:rsid w:val="004D4559"/>
    <w:rsid w:val="0052777A"/>
    <w:rsid w:val="00557B4B"/>
    <w:rsid w:val="00570260"/>
    <w:rsid w:val="00570EB6"/>
    <w:rsid w:val="00596226"/>
    <w:rsid w:val="005B0C86"/>
    <w:rsid w:val="005B4602"/>
    <w:rsid w:val="005B675C"/>
    <w:rsid w:val="005C7081"/>
    <w:rsid w:val="005E50FF"/>
    <w:rsid w:val="00610508"/>
    <w:rsid w:val="00614180"/>
    <w:rsid w:val="00614E94"/>
    <w:rsid w:val="00620D1C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974FD"/>
    <w:rsid w:val="006A06D8"/>
    <w:rsid w:val="006B418A"/>
    <w:rsid w:val="006B44E2"/>
    <w:rsid w:val="006D4AA1"/>
    <w:rsid w:val="007106C8"/>
    <w:rsid w:val="00715FBA"/>
    <w:rsid w:val="00726529"/>
    <w:rsid w:val="00750611"/>
    <w:rsid w:val="00784163"/>
    <w:rsid w:val="007A2AFD"/>
    <w:rsid w:val="007A79FA"/>
    <w:rsid w:val="00805CAA"/>
    <w:rsid w:val="008102A1"/>
    <w:rsid w:val="0081088C"/>
    <w:rsid w:val="00811CD8"/>
    <w:rsid w:val="00827BDF"/>
    <w:rsid w:val="00837C41"/>
    <w:rsid w:val="00850D83"/>
    <w:rsid w:val="008710D7"/>
    <w:rsid w:val="00876F40"/>
    <w:rsid w:val="00881A7D"/>
    <w:rsid w:val="00881B5C"/>
    <w:rsid w:val="008A611D"/>
    <w:rsid w:val="008A71DC"/>
    <w:rsid w:val="008E2B6F"/>
    <w:rsid w:val="00911AD4"/>
    <w:rsid w:val="00916F9F"/>
    <w:rsid w:val="00940000"/>
    <w:rsid w:val="009671C1"/>
    <w:rsid w:val="00967AF9"/>
    <w:rsid w:val="00986997"/>
    <w:rsid w:val="00997E05"/>
    <w:rsid w:val="009B0632"/>
    <w:rsid w:val="009C0198"/>
    <w:rsid w:val="009C2AD7"/>
    <w:rsid w:val="009C2C9C"/>
    <w:rsid w:val="009E425E"/>
    <w:rsid w:val="009E44E6"/>
    <w:rsid w:val="00A1277D"/>
    <w:rsid w:val="00A14D8A"/>
    <w:rsid w:val="00A17FC0"/>
    <w:rsid w:val="00A23185"/>
    <w:rsid w:val="00A30D08"/>
    <w:rsid w:val="00A40750"/>
    <w:rsid w:val="00A42701"/>
    <w:rsid w:val="00A52296"/>
    <w:rsid w:val="00A67646"/>
    <w:rsid w:val="00AA0D36"/>
    <w:rsid w:val="00AB12EB"/>
    <w:rsid w:val="00AC3AC3"/>
    <w:rsid w:val="00AD78DB"/>
    <w:rsid w:val="00B032E3"/>
    <w:rsid w:val="00B23AFE"/>
    <w:rsid w:val="00B25A98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422"/>
    <w:rsid w:val="00C101F4"/>
    <w:rsid w:val="00C16C79"/>
    <w:rsid w:val="00C32E94"/>
    <w:rsid w:val="00C33A71"/>
    <w:rsid w:val="00C475AE"/>
    <w:rsid w:val="00C64EA4"/>
    <w:rsid w:val="00C90F0A"/>
    <w:rsid w:val="00C92781"/>
    <w:rsid w:val="00C92F42"/>
    <w:rsid w:val="00CA5385"/>
    <w:rsid w:val="00CC206D"/>
    <w:rsid w:val="00CC6A5E"/>
    <w:rsid w:val="00CD2956"/>
    <w:rsid w:val="00CE202B"/>
    <w:rsid w:val="00CF461B"/>
    <w:rsid w:val="00CF7CBA"/>
    <w:rsid w:val="00D06352"/>
    <w:rsid w:val="00D14005"/>
    <w:rsid w:val="00D145D1"/>
    <w:rsid w:val="00D174C4"/>
    <w:rsid w:val="00D43B98"/>
    <w:rsid w:val="00D57B27"/>
    <w:rsid w:val="00D633BE"/>
    <w:rsid w:val="00D67B09"/>
    <w:rsid w:val="00D726F8"/>
    <w:rsid w:val="00D964AB"/>
    <w:rsid w:val="00DC30EB"/>
    <w:rsid w:val="00DD26C0"/>
    <w:rsid w:val="00E02814"/>
    <w:rsid w:val="00E049E4"/>
    <w:rsid w:val="00E102B9"/>
    <w:rsid w:val="00E15149"/>
    <w:rsid w:val="00E2570D"/>
    <w:rsid w:val="00E36C4C"/>
    <w:rsid w:val="00E6347C"/>
    <w:rsid w:val="00E67ED2"/>
    <w:rsid w:val="00E73E0B"/>
    <w:rsid w:val="00E774CE"/>
    <w:rsid w:val="00E851A6"/>
    <w:rsid w:val="00E9073C"/>
    <w:rsid w:val="00E9311A"/>
    <w:rsid w:val="00EB58CB"/>
    <w:rsid w:val="00ED7758"/>
    <w:rsid w:val="00EE7066"/>
    <w:rsid w:val="00EE7F75"/>
    <w:rsid w:val="00F10AA1"/>
    <w:rsid w:val="00F229CD"/>
    <w:rsid w:val="00F47744"/>
    <w:rsid w:val="00F56176"/>
    <w:rsid w:val="00F842CB"/>
    <w:rsid w:val="00F866EE"/>
    <w:rsid w:val="00F9584F"/>
    <w:rsid w:val="00FB07FE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9808CEF0-30E3-46CE-9AD6-356AD22D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GÜNEŞ</cp:lastModifiedBy>
  <cp:revision>23</cp:revision>
  <cp:lastPrinted>2021-04-27T10:03:00Z</cp:lastPrinted>
  <dcterms:created xsi:type="dcterms:W3CDTF">2023-12-27T14:01:00Z</dcterms:created>
  <dcterms:modified xsi:type="dcterms:W3CDTF">2023-12-29T09:22:00Z</dcterms:modified>
</cp:coreProperties>
</file>