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29A76" w14:textId="77777777" w:rsidR="005D1E2D" w:rsidRDefault="005D1E2D">
      <w:pPr>
        <w:pStyle w:val="GvdeMetni"/>
        <w:spacing w:before="4"/>
        <w:rPr>
          <w:b/>
          <w:sz w:val="20"/>
        </w:rPr>
      </w:pPr>
    </w:p>
    <w:p w14:paraId="42930654" w14:textId="509CDB64" w:rsidR="005D1E2D" w:rsidRDefault="00BF4DDB" w:rsidP="0085319C">
      <w:pPr>
        <w:spacing w:before="90"/>
        <w:ind w:left="202"/>
        <w:rPr>
          <w:b/>
          <w:sz w:val="24"/>
        </w:rPr>
      </w:pPr>
      <w:r>
        <w:rPr>
          <w:b/>
          <w:sz w:val="24"/>
        </w:rPr>
        <w:t>AMAÇ</w:t>
      </w:r>
    </w:p>
    <w:p w14:paraId="2C9962FF" w14:textId="77777777" w:rsidR="0085319C" w:rsidRPr="0085319C" w:rsidRDefault="0085319C" w:rsidP="0085319C">
      <w:pPr>
        <w:spacing w:before="90"/>
        <w:ind w:left="202"/>
        <w:rPr>
          <w:b/>
          <w:sz w:val="24"/>
        </w:rPr>
      </w:pPr>
    </w:p>
    <w:p w14:paraId="1D669777" w14:textId="77777777" w:rsidR="005D1E2D" w:rsidRDefault="00BF4DDB">
      <w:pPr>
        <w:pStyle w:val="GvdeMetni"/>
        <w:spacing w:line="360" w:lineRule="auto"/>
        <w:ind w:left="202" w:right="117"/>
        <w:jc w:val="both"/>
      </w:pPr>
      <w:r>
        <w:rPr>
          <w:b/>
        </w:rPr>
        <w:t>M</w:t>
      </w:r>
      <w:r>
        <w:rPr>
          <w:b/>
        </w:rPr>
        <w:t xml:space="preserve">ADDE 1- </w:t>
      </w:r>
      <w:r>
        <w:t>Bu dokümanın amacı Tekirdağ Namık Kemal Üniversitesi Çorlu Mühendislik Fakültesi Endüstri Mühendisliği Bölümü‟nde öğrenim gören öğrencilerin yapmakla yükümlü oldukları “Sektör Tümleşik Eğitim (STE)” ile ilgili esasları düzenlemektir.</w:t>
      </w:r>
    </w:p>
    <w:p w14:paraId="03CD66A2" w14:textId="77777777" w:rsidR="005D1E2D" w:rsidRDefault="005D1E2D">
      <w:pPr>
        <w:pStyle w:val="GvdeMetni"/>
        <w:spacing w:before="8"/>
      </w:pPr>
    </w:p>
    <w:p w14:paraId="79E70361" w14:textId="77777777" w:rsidR="005D1E2D" w:rsidRDefault="00BF4DDB">
      <w:pPr>
        <w:pStyle w:val="Balk1"/>
      </w:pPr>
      <w:r>
        <w:t>KAPSAM</w:t>
      </w:r>
    </w:p>
    <w:p w14:paraId="2E7998B9" w14:textId="77777777" w:rsidR="005D1E2D" w:rsidRDefault="005D1E2D">
      <w:pPr>
        <w:pStyle w:val="GvdeMetni"/>
        <w:spacing w:before="1"/>
        <w:rPr>
          <w:b/>
          <w:sz w:val="36"/>
        </w:rPr>
      </w:pPr>
    </w:p>
    <w:p w14:paraId="09E4CE0C" w14:textId="77777777" w:rsidR="005D1E2D" w:rsidRDefault="00BF4DDB">
      <w:pPr>
        <w:pStyle w:val="GvdeMetni"/>
        <w:spacing w:before="1" w:line="360" w:lineRule="auto"/>
        <w:ind w:left="202" w:right="121"/>
        <w:jc w:val="both"/>
      </w:pPr>
      <w:r>
        <w:rPr>
          <w:b/>
        </w:rPr>
        <w:t xml:space="preserve">MADDE 2- </w:t>
      </w:r>
      <w:r>
        <w:t>STE,</w:t>
      </w:r>
      <w:r>
        <w:t xml:space="preserve"> Tekirdağ Namık Kemal Üniversitesi Çorlu Mühendislik Fakültesi Endüstri Mühendisliği Bölümü lisans programı kapsamında yer almaktadır.</w:t>
      </w:r>
    </w:p>
    <w:p w14:paraId="29C157DC" w14:textId="77777777" w:rsidR="005D1E2D" w:rsidRDefault="005D1E2D">
      <w:pPr>
        <w:pStyle w:val="GvdeMetni"/>
        <w:spacing w:before="7"/>
      </w:pPr>
    </w:p>
    <w:p w14:paraId="795460EB" w14:textId="77777777" w:rsidR="005D1E2D" w:rsidRDefault="00BF4DDB">
      <w:pPr>
        <w:pStyle w:val="Balk1"/>
      </w:pPr>
      <w:r>
        <w:t>DAYANAK</w:t>
      </w:r>
    </w:p>
    <w:p w14:paraId="35171AF2" w14:textId="77777777" w:rsidR="005D1E2D" w:rsidRDefault="005D1E2D">
      <w:pPr>
        <w:pStyle w:val="GvdeMetni"/>
        <w:spacing w:before="10"/>
        <w:rPr>
          <w:b/>
          <w:sz w:val="35"/>
        </w:rPr>
      </w:pPr>
    </w:p>
    <w:p w14:paraId="52718E41" w14:textId="77777777" w:rsidR="005D1E2D" w:rsidRDefault="00BF4DDB">
      <w:pPr>
        <w:pStyle w:val="GvdeMetni"/>
        <w:spacing w:before="1" w:line="360" w:lineRule="auto"/>
        <w:ind w:left="202" w:right="115"/>
        <w:jc w:val="both"/>
      </w:pPr>
      <w:r>
        <w:rPr>
          <w:b/>
        </w:rPr>
        <w:t xml:space="preserve">MADDE 3- </w:t>
      </w:r>
      <w:r>
        <w:t>Bu uygulama esasları Tekirdağ Namık Kemal Üniversitesi Çorlu Mühendislik Fakültesi Sektör Tümleşik Eğitim (STE) Yönergesine dayanılarak hazırlanmıştır.</w:t>
      </w:r>
    </w:p>
    <w:p w14:paraId="696B335F" w14:textId="77777777" w:rsidR="005D1E2D" w:rsidRDefault="005D1E2D">
      <w:pPr>
        <w:pStyle w:val="GvdeMetni"/>
        <w:spacing w:before="9"/>
      </w:pPr>
    </w:p>
    <w:p w14:paraId="509EA298" w14:textId="77777777" w:rsidR="005D1E2D" w:rsidRDefault="00BF4DDB">
      <w:pPr>
        <w:pStyle w:val="Balk1"/>
      </w:pPr>
      <w:r>
        <w:t>TANIMLAR</w:t>
      </w:r>
    </w:p>
    <w:p w14:paraId="70D08E50" w14:textId="77777777" w:rsidR="005D1E2D" w:rsidRDefault="005D1E2D">
      <w:pPr>
        <w:pStyle w:val="GvdeMetni"/>
        <w:spacing w:before="10"/>
        <w:rPr>
          <w:b/>
          <w:sz w:val="35"/>
        </w:rPr>
      </w:pPr>
    </w:p>
    <w:p w14:paraId="0BF07EE3" w14:textId="77777777" w:rsidR="005D1E2D" w:rsidRDefault="00BF4DDB">
      <w:pPr>
        <w:spacing w:before="1"/>
        <w:ind w:left="202"/>
        <w:rPr>
          <w:sz w:val="24"/>
        </w:rPr>
      </w:pPr>
      <w:r>
        <w:rPr>
          <w:b/>
          <w:sz w:val="24"/>
        </w:rPr>
        <w:t xml:space="preserve">MADDE 4- </w:t>
      </w:r>
      <w:r>
        <w:rPr>
          <w:sz w:val="24"/>
        </w:rPr>
        <w:t>Burada geçen;</w:t>
      </w:r>
    </w:p>
    <w:p w14:paraId="24408CA1" w14:textId="77777777" w:rsidR="005D1E2D" w:rsidRDefault="005D1E2D">
      <w:pPr>
        <w:pStyle w:val="GvdeMetni"/>
        <w:spacing w:before="1"/>
        <w:rPr>
          <w:sz w:val="36"/>
        </w:rPr>
      </w:pPr>
    </w:p>
    <w:p w14:paraId="5B5FBEE0" w14:textId="77777777" w:rsidR="005D1E2D" w:rsidRDefault="00BF4DDB">
      <w:pPr>
        <w:pStyle w:val="GvdeMetni"/>
        <w:spacing w:line="484" w:lineRule="auto"/>
        <w:ind w:left="202" w:right="4472"/>
      </w:pPr>
      <w:r>
        <w:t>Fakülte: Çorlu Mühendislik Fakültesi'ni Üniversite: Tekirdağ Namık Ke</w:t>
      </w:r>
      <w:r>
        <w:t>mal Üniversitesi'ni Bölüm: Endüstri Mühendisliği Bölümü‟nü</w:t>
      </w:r>
    </w:p>
    <w:p w14:paraId="032A6EAC" w14:textId="77777777" w:rsidR="005D1E2D" w:rsidRDefault="00BF4DDB">
      <w:pPr>
        <w:pStyle w:val="GvdeMetni"/>
        <w:spacing w:line="272" w:lineRule="exact"/>
        <w:ind w:left="202"/>
      </w:pPr>
      <w:r>
        <w:t>STE: Sektör Tümleşik Eğitimi</w:t>
      </w:r>
    </w:p>
    <w:p w14:paraId="0DE4610E" w14:textId="77777777" w:rsidR="005D1E2D" w:rsidRDefault="005D1E2D">
      <w:pPr>
        <w:pStyle w:val="GvdeMetni"/>
        <w:spacing w:before="8"/>
      </w:pPr>
    </w:p>
    <w:p w14:paraId="02A6D9CA" w14:textId="4EA14A86" w:rsidR="005D1E2D" w:rsidRDefault="00BF4DDB" w:rsidP="0085319C">
      <w:pPr>
        <w:pStyle w:val="GvdeMetni"/>
        <w:spacing w:line="360" w:lineRule="auto"/>
        <w:ind w:left="202" w:right="117"/>
        <w:jc w:val="both"/>
        <w:sectPr w:rsidR="005D1E2D" w:rsidSect="0085319C">
          <w:headerReference w:type="even" r:id="rId6"/>
          <w:headerReference w:type="default" r:id="rId7"/>
          <w:footerReference w:type="even" r:id="rId8"/>
          <w:footerReference w:type="default" r:id="rId9"/>
          <w:headerReference w:type="first" r:id="rId10"/>
          <w:footerReference w:type="first" r:id="rId11"/>
          <w:type w:val="continuous"/>
          <w:pgSz w:w="12630" w:h="16840"/>
          <w:pgMar w:top="1320" w:right="1300" w:bottom="1200" w:left="1780" w:header="710" w:footer="1002" w:gutter="0"/>
          <w:pgNumType w:start="1"/>
          <w:cols w:space="708"/>
          <w:titlePg/>
          <w:docGrid w:linePitch="299"/>
        </w:sectPr>
      </w:pPr>
      <w:r>
        <w:t>Eş Danışman: STE yapan öğrencilerin başarı durumunun takibi ve değerlendirilmesi amacı ile, her öğrenci için danışmanı olduğu Bölüm öğretim üyesi/görevlisine ek olarak</w:t>
      </w:r>
      <w:r>
        <w:t xml:space="preserve"> STE yapılan işletme tarafından belirlenen en az lisans eğitimine sahip yetkili kimseyi</w:t>
      </w:r>
      <w:r>
        <w:rPr>
          <w:spacing w:val="56"/>
        </w:rPr>
        <w:t xml:space="preserve"> </w:t>
      </w:r>
      <w:r>
        <w:t>tanım</w:t>
      </w:r>
    </w:p>
    <w:p w14:paraId="384A869E" w14:textId="77777777" w:rsidR="005D1E2D" w:rsidRDefault="005D1E2D">
      <w:pPr>
        <w:pStyle w:val="GvdeMetni"/>
        <w:spacing w:before="7"/>
        <w:rPr>
          <w:sz w:val="19"/>
        </w:rPr>
      </w:pPr>
    </w:p>
    <w:p w14:paraId="1E1B371E" w14:textId="77777777" w:rsidR="005D1E2D" w:rsidRDefault="00BF4DDB">
      <w:pPr>
        <w:pStyle w:val="Balk1"/>
        <w:spacing w:before="90"/>
      </w:pPr>
      <w:r>
        <w:t>UYGULAMA</w:t>
      </w:r>
    </w:p>
    <w:p w14:paraId="151E2A9B" w14:textId="77777777" w:rsidR="005D1E2D" w:rsidRDefault="005D1E2D">
      <w:pPr>
        <w:pStyle w:val="GvdeMetni"/>
        <w:spacing w:before="10"/>
        <w:rPr>
          <w:b/>
          <w:sz w:val="35"/>
        </w:rPr>
      </w:pPr>
    </w:p>
    <w:p w14:paraId="41553255" w14:textId="77777777" w:rsidR="005D1E2D" w:rsidRDefault="00BF4DDB">
      <w:pPr>
        <w:pStyle w:val="GvdeMetni"/>
        <w:spacing w:line="360" w:lineRule="auto"/>
        <w:ind w:left="202" w:right="114"/>
        <w:jc w:val="both"/>
      </w:pPr>
      <w:r>
        <w:rPr>
          <w:b/>
        </w:rPr>
        <w:t xml:space="preserve">MADDE 5- </w:t>
      </w:r>
      <w:r>
        <w:t>8. yarıyılda ders kaydı aşamasına gelen öğrenciler için „STE802 kodlu Sektör Tümleşik Eğitim Stajı ve „STE803 kodlu Sektör Tümleşik Eğitim (STE) Stajı ‟ derslerine kayıt işlemi isteğe bağlı olarak gerçekleştirilir. „STE802 kodlu Sektör Tümleşik Eğ</w:t>
      </w:r>
      <w:r>
        <w:t>itim Stajı‟ dersini alan öğrencilerin „STE803 kodlu Sektör Tümleşik Eğitim (STE) Stajı‟ dersini de alması zorunludur. Bu dersleri seçmeyen öğrenciler, STE çalışması yerine teknik seçmeli ders müfredatında yer alan 2 seçmeli dersten sorumlu olurlar.</w:t>
      </w:r>
    </w:p>
    <w:p w14:paraId="7C78BF4A" w14:textId="77777777" w:rsidR="005D1E2D" w:rsidRDefault="005D1E2D">
      <w:pPr>
        <w:pStyle w:val="GvdeMetni"/>
        <w:spacing w:before="3"/>
      </w:pPr>
    </w:p>
    <w:p w14:paraId="3F4F86F9" w14:textId="77777777" w:rsidR="005D1E2D" w:rsidRDefault="00BF4DDB">
      <w:pPr>
        <w:pStyle w:val="GvdeMetni"/>
        <w:spacing w:before="1" w:line="360" w:lineRule="auto"/>
        <w:ind w:left="202" w:right="115"/>
        <w:jc w:val="both"/>
      </w:pPr>
      <w:r>
        <w:rPr>
          <w:b/>
        </w:rPr>
        <w:t xml:space="preserve">MADDE 6- </w:t>
      </w:r>
      <w:r>
        <w:t>STE yapılacak işletmeler ve işletmelerde eğitime devam edecek öğrenciler Bölüm tarafından belirlenir.</w:t>
      </w:r>
    </w:p>
    <w:p w14:paraId="68F9D97E" w14:textId="77777777" w:rsidR="005D1E2D" w:rsidRDefault="005D1E2D">
      <w:pPr>
        <w:pStyle w:val="GvdeMetni"/>
        <w:spacing w:before="4"/>
      </w:pPr>
    </w:p>
    <w:p w14:paraId="5419AB36" w14:textId="77777777" w:rsidR="005D1E2D" w:rsidRDefault="00BF4DDB">
      <w:pPr>
        <w:pStyle w:val="GvdeMetni"/>
        <w:spacing w:before="1" w:line="360" w:lineRule="auto"/>
        <w:ind w:left="202" w:right="116"/>
        <w:jc w:val="both"/>
      </w:pPr>
      <w:r>
        <w:rPr>
          <w:b/>
        </w:rPr>
        <w:t xml:space="preserve">MADDE 7- </w:t>
      </w:r>
      <w:r>
        <w:t>STE, ilgili yarıyıl eğitim-öğretim döneminde hafta içinde 3 gün ardışık olacak şekilde gerçekleştirilir. İşletmede yapılan 1 iş günü en</w:t>
      </w:r>
      <w:r>
        <w:t xml:space="preserve"> az 8 (sekiz) saatlik bir çalışma gerektirir. Günde 8 saatten fazla çalışan işletmelerde yapılan uygulama 8 saat üzerinden değerlendirilir. Öğrenci gece vardiyalarında çalışarak uygulama yapamaz. STE yapan öğrencinin devam zorunluluğu iş günü üzerinden %80</w:t>
      </w:r>
      <w:r>
        <w:t>‟dir.</w:t>
      </w:r>
    </w:p>
    <w:p w14:paraId="77CA1ACB" w14:textId="77777777" w:rsidR="005D1E2D" w:rsidRDefault="005D1E2D">
      <w:pPr>
        <w:pStyle w:val="GvdeMetni"/>
        <w:spacing w:before="4"/>
      </w:pPr>
    </w:p>
    <w:p w14:paraId="1F72D855" w14:textId="77777777" w:rsidR="005D1E2D" w:rsidRDefault="00BF4DDB">
      <w:pPr>
        <w:pStyle w:val="GvdeMetni"/>
        <w:spacing w:line="360" w:lineRule="auto"/>
        <w:ind w:left="202" w:right="113"/>
        <w:jc w:val="both"/>
      </w:pPr>
      <w:r>
        <w:rPr>
          <w:b/>
        </w:rPr>
        <w:t xml:space="preserve">MADDE 8- </w:t>
      </w:r>
      <w:r>
        <w:t>STE kapsamında, öğrencinin işletmede hafta içinde ardışık 3 iş günü şeklinde belirlenen uygulama çalışmasına başlayabilmesi için, 5510 Sayılı Sosyal Sigortalar ve Genel Sağlık Sigortası Kanunu kapsamında gerekli sigorta işlemleri, ilgili ya</w:t>
      </w:r>
      <w:r>
        <w:t>rıyılı kapsayacak şekilde Fakülte Dekanlığı tarafından gerçekleştirilir. İşletmede yapılacak hafta içi 3 işgünü şeklindeki çalışmanın, Sigorta Başlatma İşlem Belgesinde öngörülen tarihler arasında yapılması gerekmektedir.</w:t>
      </w:r>
    </w:p>
    <w:p w14:paraId="13E1EEA7" w14:textId="77777777" w:rsidR="005D1E2D" w:rsidRDefault="005D1E2D">
      <w:pPr>
        <w:pStyle w:val="GvdeMetni"/>
        <w:spacing w:before="5"/>
      </w:pPr>
    </w:p>
    <w:p w14:paraId="0CBEEA24" w14:textId="3B3998B6" w:rsidR="005D1E2D" w:rsidRDefault="00BF4DDB" w:rsidP="0085319C">
      <w:pPr>
        <w:pStyle w:val="GvdeMetni"/>
        <w:spacing w:line="360" w:lineRule="auto"/>
        <w:ind w:left="202" w:right="114"/>
        <w:jc w:val="both"/>
        <w:sectPr w:rsidR="005D1E2D">
          <w:pgSz w:w="12630" w:h="16840"/>
          <w:pgMar w:top="1320" w:right="1300" w:bottom="1200" w:left="1780" w:header="710" w:footer="1002" w:gutter="0"/>
          <w:cols w:space="708"/>
        </w:sectPr>
      </w:pPr>
      <w:r>
        <w:rPr>
          <w:b/>
        </w:rPr>
        <w:t xml:space="preserve">MADDE 9- </w:t>
      </w:r>
      <w:r>
        <w:t>STE yapan öğrencilerin b</w:t>
      </w:r>
      <w:r>
        <w:t>aşarı durumunun takibi ve değerlendirilmesi amacı ile, Bölüm Başkanlığı her öğrenciye Bölüm öğretim üyeleri/görevlileri arasından danışman atar. Bu atama işlemi bütün Bölüm öğretim üyelerini/görevlilerini kapsar. Her bir öğretim üyesine/görevlisine eşit sa</w:t>
      </w:r>
      <w:r>
        <w:t>yıda öğrencinin danışmanlığının verilmesi esasına dayalı yapılır. Danışmanların atanması, ilgili yarıyılın ilk haftası içerisinde gerçekleştirilir. Her öğrenci için danışman olarak sorumlu Bölüm öğretim üyesi/görevlisine ek olarak, STE yapılan işletme tara</w:t>
      </w:r>
      <w:r>
        <w:t>fından belirlenen en az lisans eğitimine sahip bir yetkili</w:t>
      </w:r>
      <w:r w:rsidR="0085319C">
        <w:t xml:space="preserve"> “</w:t>
      </w:r>
      <w:r>
        <w:t>eş danışman‟ olarak ata</w:t>
      </w:r>
      <w:r>
        <w:t>n</w:t>
      </w:r>
      <w:r>
        <w:t>ı</w:t>
      </w:r>
      <w:r>
        <w:t>r</w:t>
      </w:r>
      <w:r>
        <w:t>.</w:t>
      </w:r>
    </w:p>
    <w:p w14:paraId="13292E6A" w14:textId="2FEBD618" w:rsidR="005D1E2D" w:rsidRDefault="0085319C" w:rsidP="0085319C">
      <w:pPr>
        <w:pStyle w:val="GvdeMetni"/>
        <w:tabs>
          <w:tab w:val="left" w:pos="1455"/>
        </w:tabs>
        <w:rPr>
          <w:sz w:val="20"/>
        </w:rPr>
      </w:pPr>
      <w:r>
        <w:rPr>
          <w:sz w:val="20"/>
        </w:rPr>
        <w:lastRenderedPageBreak/>
        <w:tab/>
      </w:r>
    </w:p>
    <w:p w14:paraId="47C2B61B" w14:textId="77777777" w:rsidR="005D1E2D" w:rsidRDefault="00BF4DDB" w:rsidP="0085319C">
      <w:pPr>
        <w:pStyle w:val="GvdeMetni"/>
        <w:spacing w:before="90" w:line="360" w:lineRule="auto"/>
        <w:ind w:right="114"/>
        <w:jc w:val="both"/>
      </w:pPr>
      <w:r>
        <w:rPr>
          <w:b/>
        </w:rPr>
        <w:t xml:space="preserve">MADDE 10- </w:t>
      </w:r>
      <w:r>
        <w:t>STE yapan öğrenci, yürüttüğü çalışmaları günü gününe not ederek defterine geçirmekle sorumludur. Hazırlanan defter, işletmedeki eş danışm</w:t>
      </w:r>
      <w:r>
        <w:t>anı tarafından günlük olarak imzalanır. Öğrenci Bölüm danışman öğretim üyesine haftalık devamlılığı gösteren imza tutanaklarını iletmekten sorumludur. STE tamamlanmasını takiben öğretim üyesi danışmanı ve işletme eş danışmanı tarafından öğrencinin tüm çalı</w:t>
      </w:r>
      <w:r>
        <w:t>şmaları kontrol edilir ve onaylanır. Onaylanmamış defterler kabul edilmez.</w:t>
      </w:r>
    </w:p>
    <w:p w14:paraId="13D10F7D" w14:textId="77777777" w:rsidR="005D1E2D" w:rsidRDefault="005D1E2D">
      <w:pPr>
        <w:pStyle w:val="GvdeMetni"/>
        <w:spacing w:before="6"/>
      </w:pPr>
    </w:p>
    <w:p w14:paraId="564BF48B" w14:textId="77777777" w:rsidR="005D1E2D" w:rsidRDefault="00BF4DDB">
      <w:pPr>
        <w:pStyle w:val="GvdeMetni"/>
        <w:spacing w:line="360" w:lineRule="auto"/>
        <w:ind w:left="202" w:right="115"/>
        <w:jc w:val="both"/>
      </w:pPr>
      <w:r>
        <w:rPr>
          <w:b/>
        </w:rPr>
        <w:t xml:space="preserve">MADDE 11- </w:t>
      </w:r>
      <w:r>
        <w:t>STE ile ilgili defterler onaylanarak en geç ilgili yarıyılın son ders günü mesai saati bitimine kadar öğrencinin ilgili öğretim üyesi/görevlisi danışmanına teslim edilir.</w:t>
      </w:r>
      <w:r>
        <w:t xml:space="preserve"> Bu süre sonunda STE defterleri teslim edilmez ise öğrenci STE yapmamış sayılır ve bir sonraki yıl ilgili ders kaydını</w:t>
      </w:r>
      <w:r>
        <w:rPr>
          <w:spacing w:val="4"/>
        </w:rPr>
        <w:t xml:space="preserve"> </w:t>
      </w:r>
      <w:r>
        <w:t>yeniler.</w:t>
      </w:r>
    </w:p>
    <w:p w14:paraId="3AF152EF" w14:textId="77777777" w:rsidR="005D1E2D" w:rsidRDefault="005D1E2D">
      <w:pPr>
        <w:pStyle w:val="GvdeMetni"/>
        <w:spacing w:before="2"/>
      </w:pPr>
    </w:p>
    <w:p w14:paraId="57077DE1" w14:textId="77777777" w:rsidR="005D1E2D" w:rsidRDefault="00BF4DDB">
      <w:pPr>
        <w:pStyle w:val="GvdeMetni"/>
        <w:spacing w:before="1" w:line="360" w:lineRule="auto"/>
        <w:ind w:left="202" w:right="115" w:firstLine="59"/>
        <w:jc w:val="both"/>
      </w:pPr>
      <w:r>
        <w:rPr>
          <w:b/>
        </w:rPr>
        <w:t xml:space="preserve">MADDE 12- </w:t>
      </w:r>
      <w:r>
        <w:t>STE802 dersi „başarılı veya başarısız‟ olarak, STE803 dersi ise „not belirleme‟ ile değerlendirilir. STE derslerinin değerlendirmesi, STE raporlarının (defter ve imza tutanakları) incelenmesi şeklinde ve/veya STE uygulamasında yapılan çalışmaların, dönem s</w:t>
      </w:r>
      <w:r>
        <w:t>onunda planlanan bir günde sözlü sunumu ile gerçekleştirilir. STE danışmanı ve/veya Bölüm öğretim üyelerinden oluşan STE jürisi öğrencinin başarı durumunu belirler.</w:t>
      </w:r>
    </w:p>
    <w:p w14:paraId="5574FF86" w14:textId="77777777" w:rsidR="005D1E2D" w:rsidRDefault="005D1E2D">
      <w:pPr>
        <w:pStyle w:val="GvdeMetni"/>
        <w:spacing w:before="4"/>
      </w:pPr>
    </w:p>
    <w:p w14:paraId="047B88E8" w14:textId="77777777" w:rsidR="005D1E2D" w:rsidRDefault="00BF4DDB">
      <w:pPr>
        <w:pStyle w:val="GvdeMetni"/>
        <w:spacing w:line="360" w:lineRule="auto"/>
        <w:ind w:left="202" w:right="117"/>
        <w:jc w:val="both"/>
      </w:pPr>
      <w:r>
        <w:rPr>
          <w:b/>
        </w:rPr>
        <w:t xml:space="preserve">MADDE 13- </w:t>
      </w:r>
      <w:r>
        <w:t xml:space="preserve">STE başlamadan geçerli bir mazereti nedeniyle kayıt donduran bir öğrenci, takip </w:t>
      </w:r>
      <w:r>
        <w:t>eden diğer yılda STE uygulamasını yapar ve kayıt dondurduğu yarıyıl eğitim öğretim süresinden</w:t>
      </w:r>
      <w:r>
        <w:rPr>
          <w:spacing w:val="-2"/>
        </w:rPr>
        <w:t xml:space="preserve"> </w:t>
      </w:r>
      <w:r>
        <w:t>sayılmaz.</w:t>
      </w:r>
    </w:p>
    <w:p w14:paraId="123FDBDD" w14:textId="77777777" w:rsidR="005D1E2D" w:rsidRDefault="005D1E2D">
      <w:pPr>
        <w:pStyle w:val="GvdeMetni"/>
        <w:spacing w:before="3"/>
      </w:pPr>
    </w:p>
    <w:p w14:paraId="36E26DE0" w14:textId="77777777" w:rsidR="005D1E2D" w:rsidRDefault="00BF4DDB">
      <w:pPr>
        <w:pStyle w:val="GvdeMetni"/>
        <w:spacing w:before="1" w:line="360" w:lineRule="auto"/>
        <w:ind w:left="202" w:right="115"/>
        <w:jc w:val="both"/>
      </w:pPr>
      <w:r>
        <w:rPr>
          <w:b/>
        </w:rPr>
        <w:t xml:space="preserve">MADDE 14- </w:t>
      </w:r>
      <w:r>
        <w:t>Öğrenciler STE kapsamında işletmede geçerli olan kural ve yönetmeliklere uymak zorundadırlar. STE süresince öğrencinin hal, davranış ve disip</w:t>
      </w:r>
      <w:r>
        <w:t>linleri ile ilgili ortaya çıkabilecek sorunlarda, Yüksek Öğretim Kurumları Öğrenci Disiplin Yönetmeliği‟nin ilgili maddeleri</w:t>
      </w:r>
      <w:r>
        <w:rPr>
          <w:spacing w:val="1"/>
        </w:rPr>
        <w:t xml:space="preserve"> </w:t>
      </w:r>
      <w:r>
        <w:t>geçerlidir.</w:t>
      </w:r>
    </w:p>
    <w:p w14:paraId="279DF3E2" w14:textId="77777777" w:rsidR="005D1E2D" w:rsidRDefault="005D1E2D">
      <w:pPr>
        <w:pStyle w:val="GvdeMetni"/>
        <w:spacing w:before="1"/>
        <w:rPr>
          <w:sz w:val="36"/>
        </w:rPr>
      </w:pPr>
    </w:p>
    <w:p w14:paraId="6A154AE4" w14:textId="62EA095F" w:rsidR="005D1E2D" w:rsidRDefault="00BF4DDB" w:rsidP="0085319C">
      <w:pPr>
        <w:pStyle w:val="GvdeMetni"/>
        <w:spacing w:before="1" w:line="360" w:lineRule="auto"/>
        <w:ind w:left="202" w:right="119"/>
        <w:jc w:val="both"/>
      </w:pPr>
      <w:r>
        <w:rPr>
          <w:b/>
        </w:rPr>
        <w:t xml:space="preserve">MADDE 15- </w:t>
      </w:r>
      <w:r>
        <w:t>STE Uygulama Esasları‟nın içeriği, STE uygulanacak yarıyılın başında Bölüm Kurulu tarafından belirlenir.</w:t>
      </w:r>
    </w:p>
    <w:p w14:paraId="47766C96" w14:textId="77777777" w:rsidR="0085319C" w:rsidRPr="0085319C" w:rsidRDefault="0085319C" w:rsidP="0085319C">
      <w:pPr>
        <w:pStyle w:val="GvdeMetni"/>
        <w:spacing w:before="1" w:line="360" w:lineRule="auto"/>
        <w:ind w:left="202" w:right="119"/>
        <w:jc w:val="both"/>
      </w:pPr>
    </w:p>
    <w:p w14:paraId="4DE6FC8C" w14:textId="77777777" w:rsidR="005D1E2D" w:rsidRDefault="00BF4DDB">
      <w:pPr>
        <w:pStyle w:val="Balk1"/>
      </w:pPr>
      <w:r>
        <w:t>YÜ</w:t>
      </w:r>
      <w:r>
        <w:t>RÜRLÜK</w:t>
      </w:r>
    </w:p>
    <w:p w14:paraId="31735A08" w14:textId="77777777" w:rsidR="005D1E2D" w:rsidRDefault="00BF4DDB">
      <w:pPr>
        <w:pStyle w:val="GvdeMetni"/>
        <w:spacing w:before="135" w:line="360" w:lineRule="auto"/>
        <w:ind w:left="202" w:right="117"/>
        <w:jc w:val="both"/>
      </w:pPr>
      <w:r>
        <w:rPr>
          <w:b/>
        </w:rPr>
        <w:t>MADDE 16</w:t>
      </w:r>
      <w:r>
        <w:t>- STE Uygulama Esasları, Tekirdağ Namık Kemal Üniversitesi Senatosu  tarafından onaylanma tarihinden itibaren yürürlüğe</w:t>
      </w:r>
      <w:r>
        <w:rPr>
          <w:spacing w:val="1"/>
        </w:rPr>
        <w:t xml:space="preserve"> </w:t>
      </w:r>
      <w:r>
        <w:t>girer.</w:t>
      </w:r>
    </w:p>
    <w:p w14:paraId="3151B036" w14:textId="77777777" w:rsidR="005D1E2D" w:rsidRDefault="005D1E2D">
      <w:pPr>
        <w:spacing w:line="360" w:lineRule="auto"/>
        <w:jc w:val="both"/>
        <w:sectPr w:rsidR="005D1E2D">
          <w:pgSz w:w="12630" w:h="16840"/>
          <w:pgMar w:top="1320" w:right="1300" w:bottom="1200" w:left="1780" w:header="710" w:footer="1002" w:gutter="0"/>
          <w:cols w:space="708"/>
        </w:sectPr>
      </w:pPr>
    </w:p>
    <w:p w14:paraId="25E1D026" w14:textId="77777777" w:rsidR="005D1E2D" w:rsidRDefault="00BF4DDB">
      <w:pPr>
        <w:pStyle w:val="Balk1"/>
        <w:spacing w:before="80"/>
      </w:pPr>
      <w:r>
        <w:lastRenderedPageBreak/>
        <w:t>YÜRÜTME</w:t>
      </w:r>
    </w:p>
    <w:p w14:paraId="62FB150C" w14:textId="7FFC60E9" w:rsidR="005D1E2D" w:rsidRDefault="00BF4DDB">
      <w:pPr>
        <w:pStyle w:val="GvdeMetni"/>
        <w:spacing w:before="134"/>
        <w:ind w:left="202"/>
      </w:pPr>
      <w:r>
        <w:rPr>
          <w:b/>
        </w:rPr>
        <w:t>MADDE 17</w:t>
      </w:r>
      <w:r>
        <w:t>- STE Uygulama Esasları‟nı Çorlu Mühendislik Fakültesi Dekanı yürütür.</w:t>
      </w:r>
    </w:p>
    <w:p w14:paraId="1A73ECB8" w14:textId="6C4D0850" w:rsidR="0085319C" w:rsidRDefault="0085319C" w:rsidP="0085319C">
      <w:pPr>
        <w:pStyle w:val="GvdeMetni"/>
        <w:spacing w:before="134"/>
      </w:pPr>
    </w:p>
    <w:p w14:paraId="6244CB1D" w14:textId="043100AA" w:rsidR="0085319C" w:rsidRDefault="0085319C">
      <w:pPr>
        <w:pStyle w:val="GvdeMetni"/>
        <w:spacing w:before="134"/>
        <w:ind w:left="202"/>
      </w:pPr>
    </w:p>
    <w:p w14:paraId="193252F2" w14:textId="3AA4DBD7" w:rsidR="0085319C" w:rsidRPr="0085319C" w:rsidRDefault="0085319C" w:rsidP="0085319C">
      <w:pPr>
        <w:pStyle w:val="GvdeMetni"/>
        <w:spacing w:before="10"/>
        <w:ind w:left="20"/>
        <w:rPr>
          <w:b/>
          <w:bCs/>
        </w:rPr>
      </w:pPr>
      <w:r>
        <w:rPr>
          <w:b/>
          <w:bCs/>
        </w:rPr>
        <w:t>*</w:t>
      </w:r>
      <w:r w:rsidRPr="0085319C">
        <w:rPr>
          <w:b/>
          <w:bCs/>
        </w:rPr>
        <w:t>30.05.2019 Tarihli 2019-9 nolu Senato Toplantısının 06 nolu Kararı</w:t>
      </w:r>
    </w:p>
    <w:p w14:paraId="66F3272A" w14:textId="77777777" w:rsidR="0085319C" w:rsidRDefault="0085319C">
      <w:pPr>
        <w:pStyle w:val="GvdeMetni"/>
        <w:spacing w:before="134"/>
        <w:ind w:left="202"/>
      </w:pPr>
    </w:p>
    <w:sectPr w:rsidR="0085319C">
      <w:pgSz w:w="12630" w:h="16840"/>
      <w:pgMar w:top="1320" w:right="1300" w:bottom="1200" w:left="1780" w:header="710"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544E7" w14:textId="77777777" w:rsidR="00BF4DDB" w:rsidRDefault="00BF4DDB">
      <w:r>
        <w:separator/>
      </w:r>
    </w:p>
  </w:endnote>
  <w:endnote w:type="continuationSeparator" w:id="0">
    <w:p w14:paraId="74AF1649" w14:textId="77777777" w:rsidR="00BF4DDB" w:rsidRDefault="00BF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AC626" w14:textId="77777777" w:rsidR="00557F84" w:rsidRDefault="00557F8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5532A" w14:textId="7BBCC034" w:rsidR="005D1E2D" w:rsidRDefault="00557F84">
    <w:pPr>
      <w:pStyle w:val="GvdeMetni"/>
      <w:spacing w:line="14" w:lineRule="auto"/>
      <w:rPr>
        <w:sz w:val="20"/>
      </w:rPr>
    </w:pPr>
    <w:r>
      <w:rPr>
        <w:noProof/>
      </w:rPr>
      <mc:AlternateContent>
        <mc:Choice Requires="wps">
          <w:drawing>
            <wp:anchor distT="0" distB="0" distL="114300" distR="114300" simplePos="0" relativeHeight="251554816" behindDoc="1" locked="0" layoutInCell="1" allowOverlap="1" wp14:anchorId="299A7195" wp14:editId="5BF90835">
              <wp:simplePos x="0" y="0"/>
              <wp:positionH relativeFrom="page">
                <wp:posOffset>3935730</wp:posOffset>
              </wp:positionH>
              <wp:positionV relativeFrom="page">
                <wp:posOffset>9916160</wp:posOffset>
              </wp:positionV>
              <wp:extent cx="147320" cy="1657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E3893" w14:textId="77777777" w:rsidR="005D1E2D" w:rsidRDefault="00BF4DDB">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A7195" id="_x0000_t202" coordsize="21600,21600" o:spt="202" path="m,l,21600r21600,l21600,xe">
              <v:stroke joinstyle="miter"/>
              <v:path gradientshapeok="t" o:connecttype="rect"/>
            </v:shapetype>
            <v:shape id="Text Box 1" o:spid="_x0000_s1027" type="#_x0000_t202" style="position:absolute;margin-left:309.9pt;margin-top:780.8pt;width:11.6pt;height:13.0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" filled="f" stroked="f">
              <v:textbox inset="0,0,0,0">
                <w:txbxContent>
                  <w:p w14:paraId="7C3E3893" w14:textId="77777777" w:rsidR="005D1E2D" w:rsidRDefault="00BF4DDB">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89895" w14:textId="77777777" w:rsidR="00557F84" w:rsidRDefault="00557F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3CFAA" w14:textId="77777777" w:rsidR="00BF4DDB" w:rsidRDefault="00BF4DDB">
      <w:r>
        <w:separator/>
      </w:r>
    </w:p>
  </w:footnote>
  <w:footnote w:type="continuationSeparator" w:id="0">
    <w:p w14:paraId="07A8C015" w14:textId="77777777" w:rsidR="00BF4DDB" w:rsidRDefault="00BF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B0AEE" w14:textId="77777777" w:rsidR="00557F84" w:rsidRDefault="00557F8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622CF" w14:textId="52176F0D" w:rsidR="005D1E2D" w:rsidRDefault="00557F84">
    <w:pPr>
      <w:pStyle w:val="GvdeMetni"/>
      <w:spacing w:line="14" w:lineRule="auto"/>
      <w:rPr>
        <w:sz w:val="20"/>
      </w:rPr>
    </w:pPr>
    <w:r>
      <w:rPr>
        <w:noProof/>
      </w:rPr>
      <mc:AlternateContent>
        <mc:Choice Requires="wps">
          <w:drawing>
            <wp:anchor distT="0" distB="0" distL="114300" distR="114300" simplePos="0" relativeHeight="251553792" behindDoc="1" locked="0" layoutInCell="1" allowOverlap="1" wp14:anchorId="5DE15C2F" wp14:editId="36AAD0C2">
              <wp:simplePos x="0" y="0"/>
              <wp:positionH relativeFrom="page">
                <wp:posOffset>886460</wp:posOffset>
              </wp:positionH>
              <wp:positionV relativeFrom="page">
                <wp:posOffset>438150</wp:posOffset>
              </wp:positionV>
              <wp:extent cx="4173220"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32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43A4C" w14:textId="1C7FD914" w:rsidR="005D1E2D" w:rsidRDefault="005D1E2D">
                          <w:pPr>
                            <w:pStyle w:val="GvdeMetni"/>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15C2F" id="_x0000_t202" coordsize="21600,21600" o:spt="202" path="m,l,21600r21600,l21600,xe">
              <v:stroke joinstyle="miter"/>
              <v:path gradientshapeok="t" o:connecttype="rect"/>
            </v:shapetype>
            <v:shape id="Text Box 2" o:spid="_x0000_s1026" type="#_x0000_t202" style="position:absolute;margin-left:69.8pt;margin-top:34.5pt;width:328.6pt;height:15.3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" filled="f" stroked="f">
              <v:textbox inset="0,0,0,0">
                <w:txbxContent>
                  <w:p w14:paraId="25043A4C" w14:textId="1C7FD914" w:rsidR="005D1E2D" w:rsidRDefault="005D1E2D">
                    <w:pPr>
                      <w:pStyle w:val="GvdeMetni"/>
                      <w:spacing w:before="10"/>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39"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02"/>
      <w:gridCol w:w="4394"/>
      <w:gridCol w:w="2004"/>
      <w:gridCol w:w="1839"/>
    </w:tblGrid>
    <w:tr w:rsidR="0085319C" w:rsidRPr="00270736" w14:paraId="076E884D" w14:textId="77777777" w:rsidTr="00557F84">
      <w:trPr>
        <w:trHeight w:val="292"/>
      </w:trPr>
      <w:tc>
        <w:tcPr>
          <w:tcW w:w="1702" w:type="dxa"/>
          <w:vMerge w:val="restart"/>
          <w:tcBorders>
            <w:top w:val="single" w:sz="4" w:space="0" w:color="auto"/>
            <w:left w:val="single" w:sz="4" w:space="0" w:color="auto"/>
            <w:right w:val="single" w:sz="6" w:space="0" w:color="000000"/>
          </w:tcBorders>
          <w:shd w:val="clear" w:color="auto" w:fill="auto"/>
        </w:tcPr>
        <w:p w14:paraId="4F6BB9BC" w14:textId="77777777" w:rsidR="0085319C" w:rsidRPr="00270736" w:rsidRDefault="0085319C" w:rsidP="0085319C">
          <w:pPr>
            <w:pStyle w:val="TableParagraph"/>
            <w:spacing w:before="2"/>
            <w:rPr>
              <w:sz w:val="8"/>
            </w:rPr>
          </w:pPr>
        </w:p>
        <w:p w14:paraId="72C14938" w14:textId="77777777" w:rsidR="0085319C" w:rsidRPr="00270736" w:rsidRDefault="0085319C" w:rsidP="0085319C">
          <w:pPr>
            <w:pStyle w:val="TableParagraph"/>
            <w:ind w:left="323"/>
            <w:rPr>
              <w:sz w:val="20"/>
            </w:rPr>
          </w:pPr>
          <w:r>
            <w:rPr>
              <w:noProof/>
            </w:rPr>
            <w:drawing>
              <wp:anchor distT="0" distB="0" distL="114300" distR="114300" simplePos="0" relativeHeight="251659264" behindDoc="1" locked="0" layoutInCell="1" allowOverlap="1" wp14:anchorId="536A7CE7" wp14:editId="37468B53">
                <wp:simplePos x="0" y="0"/>
                <wp:positionH relativeFrom="column">
                  <wp:posOffset>76200</wp:posOffset>
                </wp:positionH>
                <wp:positionV relativeFrom="paragraph">
                  <wp:posOffset>59690</wp:posOffset>
                </wp:positionV>
                <wp:extent cx="913765" cy="7715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76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4" w:type="dxa"/>
          <w:vMerge w:val="restart"/>
          <w:tcBorders>
            <w:top w:val="single" w:sz="4" w:space="0" w:color="auto"/>
            <w:left w:val="single" w:sz="6" w:space="0" w:color="000000"/>
            <w:right w:val="single" w:sz="6" w:space="0" w:color="000000"/>
          </w:tcBorders>
          <w:shd w:val="clear" w:color="auto" w:fill="auto"/>
          <w:vAlign w:val="center"/>
        </w:tcPr>
        <w:p w14:paraId="7C22E712" w14:textId="495DCD8F" w:rsidR="0085319C" w:rsidRPr="00270736" w:rsidRDefault="0085319C" w:rsidP="0085319C">
          <w:pPr>
            <w:pStyle w:val="TableParagraph"/>
            <w:ind w:left="134" w:right="104"/>
            <w:jc w:val="center"/>
            <w:rPr>
              <w:b/>
              <w:sz w:val="24"/>
              <w:szCs w:val="24"/>
            </w:rPr>
          </w:pPr>
          <w:r w:rsidRPr="00270736">
            <w:rPr>
              <w:b/>
              <w:sz w:val="24"/>
              <w:szCs w:val="24"/>
            </w:rPr>
            <w:t xml:space="preserve">TNKÜ </w:t>
          </w:r>
          <w:r>
            <w:rPr>
              <w:b/>
              <w:sz w:val="24"/>
              <w:szCs w:val="24"/>
            </w:rPr>
            <w:t>ÇORLU MÜHENDİSLİK FAKÜLTESİ ENDÜSTRİ MÜHENDİSLİĞİ BÖLÜMÜ SEKTÖR TÜMLEŞİK EĞİTİM (STE) UYGULAMA ESASLARI</w:t>
          </w:r>
        </w:p>
      </w:tc>
      <w:tc>
        <w:tcPr>
          <w:tcW w:w="2004" w:type="dxa"/>
          <w:tcBorders>
            <w:top w:val="single" w:sz="4" w:space="0" w:color="auto"/>
            <w:left w:val="single" w:sz="6" w:space="0" w:color="000000"/>
            <w:bottom w:val="single" w:sz="6" w:space="0" w:color="000000"/>
            <w:right w:val="single" w:sz="6" w:space="0" w:color="000000"/>
          </w:tcBorders>
          <w:shd w:val="clear" w:color="auto" w:fill="auto"/>
          <w:vAlign w:val="center"/>
        </w:tcPr>
        <w:p w14:paraId="620795F2" w14:textId="77777777" w:rsidR="0085319C" w:rsidRPr="00270736" w:rsidRDefault="0085319C" w:rsidP="0085319C">
          <w:pPr>
            <w:pStyle w:val="TableParagraph"/>
            <w:spacing w:before="1" w:line="174" w:lineRule="exact"/>
            <w:ind w:left="34"/>
            <w:rPr>
              <w:sz w:val="20"/>
              <w:szCs w:val="24"/>
            </w:rPr>
          </w:pPr>
          <w:r w:rsidRPr="00270736">
            <w:rPr>
              <w:w w:val="105"/>
              <w:sz w:val="20"/>
              <w:szCs w:val="24"/>
            </w:rPr>
            <w:t>Doküman No:</w:t>
          </w:r>
        </w:p>
      </w:tc>
      <w:tc>
        <w:tcPr>
          <w:tcW w:w="1839" w:type="dxa"/>
          <w:tcBorders>
            <w:top w:val="single" w:sz="4" w:space="0" w:color="auto"/>
            <w:left w:val="single" w:sz="6" w:space="0" w:color="000000"/>
            <w:bottom w:val="single" w:sz="6" w:space="0" w:color="000000"/>
            <w:right w:val="single" w:sz="4" w:space="0" w:color="auto"/>
          </w:tcBorders>
          <w:shd w:val="clear" w:color="auto" w:fill="auto"/>
          <w:vAlign w:val="center"/>
        </w:tcPr>
        <w:p w14:paraId="58106138" w14:textId="18A260C1" w:rsidR="0085319C" w:rsidRPr="00270736" w:rsidRDefault="0085319C" w:rsidP="0085319C">
          <w:pPr>
            <w:pStyle w:val="TableParagraph"/>
            <w:spacing w:line="176" w:lineRule="exact"/>
            <w:ind w:right="446"/>
            <w:rPr>
              <w:sz w:val="20"/>
              <w:szCs w:val="24"/>
            </w:rPr>
          </w:pPr>
          <w:r w:rsidRPr="00270736">
            <w:rPr>
              <w:sz w:val="20"/>
              <w:szCs w:val="24"/>
            </w:rPr>
            <w:t xml:space="preserve"> EYS-</w:t>
          </w:r>
          <w:r>
            <w:rPr>
              <w:sz w:val="20"/>
              <w:szCs w:val="24"/>
            </w:rPr>
            <w:t>EVU-006</w:t>
          </w:r>
        </w:p>
      </w:tc>
    </w:tr>
    <w:tr w:rsidR="0085319C" w:rsidRPr="00270736" w14:paraId="07F72005" w14:textId="77777777" w:rsidTr="00557F84">
      <w:trPr>
        <w:trHeight w:val="292"/>
      </w:trPr>
      <w:tc>
        <w:tcPr>
          <w:tcW w:w="1702" w:type="dxa"/>
          <w:vMerge/>
          <w:tcBorders>
            <w:left w:val="single" w:sz="4" w:space="0" w:color="auto"/>
            <w:right w:val="single" w:sz="6" w:space="0" w:color="000000"/>
          </w:tcBorders>
          <w:shd w:val="clear" w:color="auto" w:fill="auto"/>
        </w:tcPr>
        <w:p w14:paraId="366F951D" w14:textId="77777777" w:rsidR="0085319C" w:rsidRPr="00270736" w:rsidRDefault="0085319C" w:rsidP="0085319C">
          <w:pPr>
            <w:rPr>
              <w:sz w:val="2"/>
              <w:szCs w:val="2"/>
            </w:rPr>
          </w:pPr>
        </w:p>
      </w:tc>
      <w:tc>
        <w:tcPr>
          <w:tcW w:w="4394" w:type="dxa"/>
          <w:vMerge/>
          <w:tcBorders>
            <w:left w:val="single" w:sz="6" w:space="0" w:color="000000"/>
            <w:right w:val="single" w:sz="6" w:space="0" w:color="000000"/>
          </w:tcBorders>
          <w:shd w:val="clear" w:color="auto" w:fill="auto"/>
        </w:tcPr>
        <w:p w14:paraId="71B85AA4" w14:textId="77777777" w:rsidR="0085319C" w:rsidRPr="00270736" w:rsidRDefault="0085319C" w:rsidP="0085319C">
          <w:pPr>
            <w:rPr>
              <w:sz w:val="24"/>
              <w:szCs w:val="24"/>
            </w:rPr>
          </w:pPr>
        </w:p>
      </w:tc>
      <w:tc>
        <w:tcPr>
          <w:tcW w:w="20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7A2F01" w14:textId="77777777" w:rsidR="0085319C" w:rsidRPr="00270736" w:rsidRDefault="0085319C" w:rsidP="0085319C">
          <w:pPr>
            <w:pStyle w:val="TableParagraph"/>
            <w:spacing w:line="176" w:lineRule="exact"/>
            <w:ind w:left="34"/>
            <w:rPr>
              <w:sz w:val="20"/>
              <w:szCs w:val="24"/>
            </w:rPr>
          </w:pPr>
          <w:r w:rsidRPr="00270736">
            <w:rPr>
              <w:w w:val="105"/>
              <w:sz w:val="20"/>
              <w:szCs w:val="24"/>
            </w:rPr>
            <w:t>Hazırlama Tarihi:</w:t>
          </w:r>
        </w:p>
      </w:tc>
      <w:tc>
        <w:tcPr>
          <w:tcW w:w="1839" w:type="dxa"/>
          <w:tcBorders>
            <w:top w:val="single" w:sz="6" w:space="0" w:color="000000"/>
            <w:left w:val="single" w:sz="6" w:space="0" w:color="000000"/>
            <w:bottom w:val="single" w:sz="6" w:space="0" w:color="000000"/>
            <w:right w:val="single" w:sz="4" w:space="0" w:color="auto"/>
          </w:tcBorders>
          <w:shd w:val="clear" w:color="auto" w:fill="auto"/>
          <w:vAlign w:val="center"/>
        </w:tcPr>
        <w:p w14:paraId="126A02B9" w14:textId="77777777" w:rsidR="0085319C" w:rsidRPr="00270736" w:rsidRDefault="0085319C" w:rsidP="0085319C">
          <w:pPr>
            <w:pStyle w:val="TableParagraph"/>
            <w:spacing w:line="176" w:lineRule="exact"/>
            <w:ind w:right="446"/>
            <w:rPr>
              <w:sz w:val="20"/>
              <w:szCs w:val="24"/>
            </w:rPr>
          </w:pPr>
          <w:r w:rsidRPr="00270736">
            <w:rPr>
              <w:sz w:val="20"/>
              <w:szCs w:val="24"/>
            </w:rPr>
            <w:t xml:space="preserve"> </w:t>
          </w:r>
          <w:r>
            <w:rPr>
              <w:sz w:val="20"/>
              <w:szCs w:val="24"/>
            </w:rPr>
            <w:t>30.09.</w:t>
          </w:r>
          <w:r w:rsidRPr="00270736">
            <w:rPr>
              <w:sz w:val="20"/>
              <w:szCs w:val="24"/>
            </w:rPr>
            <w:t>2022</w:t>
          </w:r>
        </w:p>
      </w:tc>
    </w:tr>
    <w:tr w:rsidR="0085319C" w:rsidRPr="00270736" w14:paraId="4BFAE637" w14:textId="77777777" w:rsidTr="00557F84">
      <w:trPr>
        <w:trHeight w:val="292"/>
      </w:trPr>
      <w:tc>
        <w:tcPr>
          <w:tcW w:w="1702" w:type="dxa"/>
          <w:vMerge/>
          <w:tcBorders>
            <w:left w:val="single" w:sz="4" w:space="0" w:color="auto"/>
            <w:right w:val="single" w:sz="6" w:space="0" w:color="000000"/>
          </w:tcBorders>
          <w:shd w:val="clear" w:color="auto" w:fill="auto"/>
        </w:tcPr>
        <w:p w14:paraId="2E9404C2" w14:textId="77777777" w:rsidR="0085319C" w:rsidRPr="00270736" w:rsidRDefault="0085319C" w:rsidP="0085319C">
          <w:pPr>
            <w:rPr>
              <w:sz w:val="2"/>
              <w:szCs w:val="2"/>
            </w:rPr>
          </w:pPr>
        </w:p>
      </w:tc>
      <w:tc>
        <w:tcPr>
          <w:tcW w:w="4394" w:type="dxa"/>
          <w:vMerge/>
          <w:tcBorders>
            <w:left w:val="single" w:sz="6" w:space="0" w:color="000000"/>
            <w:right w:val="single" w:sz="6" w:space="0" w:color="000000"/>
          </w:tcBorders>
          <w:shd w:val="clear" w:color="auto" w:fill="auto"/>
        </w:tcPr>
        <w:p w14:paraId="7F874F01" w14:textId="77777777" w:rsidR="0085319C" w:rsidRPr="00270736" w:rsidRDefault="0085319C" w:rsidP="0085319C">
          <w:pPr>
            <w:rPr>
              <w:sz w:val="24"/>
              <w:szCs w:val="24"/>
            </w:rPr>
          </w:pPr>
        </w:p>
      </w:tc>
      <w:tc>
        <w:tcPr>
          <w:tcW w:w="20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EED2FA" w14:textId="77777777" w:rsidR="0085319C" w:rsidRPr="00270736" w:rsidRDefault="0085319C" w:rsidP="0085319C">
          <w:pPr>
            <w:pStyle w:val="TableParagraph"/>
            <w:spacing w:line="176" w:lineRule="exact"/>
            <w:ind w:left="34"/>
            <w:rPr>
              <w:sz w:val="20"/>
              <w:szCs w:val="24"/>
            </w:rPr>
          </w:pPr>
          <w:r w:rsidRPr="00270736">
            <w:rPr>
              <w:w w:val="105"/>
              <w:sz w:val="20"/>
              <w:szCs w:val="24"/>
            </w:rPr>
            <w:t>Revizyon Tarihi:</w:t>
          </w:r>
        </w:p>
      </w:tc>
      <w:tc>
        <w:tcPr>
          <w:tcW w:w="1839" w:type="dxa"/>
          <w:tcBorders>
            <w:top w:val="single" w:sz="6" w:space="0" w:color="000000"/>
            <w:left w:val="single" w:sz="6" w:space="0" w:color="000000"/>
            <w:bottom w:val="single" w:sz="6" w:space="0" w:color="000000"/>
            <w:right w:val="single" w:sz="4" w:space="0" w:color="auto"/>
          </w:tcBorders>
          <w:shd w:val="clear" w:color="auto" w:fill="auto"/>
          <w:vAlign w:val="center"/>
        </w:tcPr>
        <w:p w14:paraId="59206CCD" w14:textId="77777777" w:rsidR="0085319C" w:rsidRPr="00270736" w:rsidRDefault="0085319C" w:rsidP="0085319C">
          <w:pPr>
            <w:pStyle w:val="TableParagraph"/>
            <w:spacing w:line="176" w:lineRule="exact"/>
            <w:ind w:right="444"/>
            <w:rPr>
              <w:sz w:val="20"/>
              <w:szCs w:val="24"/>
            </w:rPr>
          </w:pPr>
          <w:r w:rsidRPr="00270736">
            <w:rPr>
              <w:sz w:val="20"/>
              <w:szCs w:val="24"/>
            </w:rPr>
            <w:t>--</w:t>
          </w:r>
        </w:p>
      </w:tc>
    </w:tr>
    <w:tr w:rsidR="0085319C" w:rsidRPr="00270736" w14:paraId="25DD1439" w14:textId="77777777" w:rsidTr="00557F84">
      <w:trPr>
        <w:trHeight w:val="292"/>
      </w:trPr>
      <w:tc>
        <w:tcPr>
          <w:tcW w:w="1702" w:type="dxa"/>
          <w:vMerge/>
          <w:tcBorders>
            <w:left w:val="single" w:sz="4" w:space="0" w:color="auto"/>
            <w:right w:val="single" w:sz="6" w:space="0" w:color="000000"/>
          </w:tcBorders>
          <w:shd w:val="clear" w:color="auto" w:fill="auto"/>
        </w:tcPr>
        <w:p w14:paraId="735E9B7A" w14:textId="77777777" w:rsidR="0085319C" w:rsidRPr="00270736" w:rsidRDefault="0085319C" w:rsidP="0085319C">
          <w:pPr>
            <w:rPr>
              <w:sz w:val="2"/>
              <w:szCs w:val="2"/>
            </w:rPr>
          </w:pPr>
        </w:p>
      </w:tc>
      <w:tc>
        <w:tcPr>
          <w:tcW w:w="4394" w:type="dxa"/>
          <w:vMerge/>
          <w:tcBorders>
            <w:left w:val="single" w:sz="6" w:space="0" w:color="000000"/>
            <w:right w:val="single" w:sz="6" w:space="0" w:color="000000"/>
          </w:tcBorders>
          <w:shd w:val="clear" w:color="auto" w:fill="auto"/>
        </w:tcPr>
        <w:p w14:paraId="0F7F8CD0" w14:textId="77777777" w:rsidR="0085319C" w:rsidRPr="00270736" w:rsidRDefault="0085319C" w:rsidP="0085319C">
          <w:pPr>
            <w:rPr>
              <w:sz w:val="24"/>
              <w:szCs w:val="24"/>
            </w:rPr>
          </w:pPr>
        </w:p>
      </w:tc>
      <w:tc>
        <w:tcPr>
          <w:tcW w:w="20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49B3D9" w14:textId="77777777" w:rsidR="0085319C" w:rsidRPr="00270736" w:rsidRDefault="0085319C" w:rsidP="0085319C">
          <w:pPr>
            <w:pStyle w:val="TableParagraph"/>
            <w:spacing w:line="176" w:lineRule="exact"/>
            <w:ind w:left="34"/>
            <w:rPr>
              <w:sz w:val="20"/>
              <w:szCs w:val="24"/>
            </w:rPr>
          </w:pPr>
          <w:r w:rsidRPr="00270736">
            <w:rPr>
              <w:w w:val="105"/>
              <w:sz w:val="20"/>
              <w:szCs w:val="24"/>
            </w:rPr>
            <w:t>Revizyon No:</w:t>
          </w:r>
        </w:p>
      </w:tc>
      <w:tc>
        <w:tcPr>
          <w:tcW w:w="1839" w:type="dxa"/>
          <w:tcBorders>
            <w:top w:val="single" w:sz="6" w:space="0" w:color="000000"/>
            <w:left w:val="single" w:sz="6" w:space="0" w:color="000000"/>
            <w:bottom w:val="single" w:sz="4" w:space="0" w:color="auto"/>
            <w:right w:val="single" w:sz="4" w:space="0" w:color="auto"/>
          </w:tcBorders>
          <w:shd w:val="clear" w:color="auto" w:fill="auto"/>
          <w:vAlign w:val="center"/>
        </w:tcPr>
        <w:p w14:paraId="45854CB8" w14:textId="77777777" w:rsidR="0085319C" w:rsidRPr="00270736" w:rsidRDefault="0085319C" w:rsidP="0085319C">
          <w:pPr>
            <w:pStyle w:val="TableParagraph"/>
            <w:spacing w:line="176" w:lineRule="exact"/>
            <w:ind w:right="444"/>
            <w:rPr>
              <w:sz w:val="20"/>
              <w:szCs w:val="24"/>
            </w:rPr>
          </w:pPr>
          <w:r w:rsidRPr="00270736">
            <w:rPr>
              <w:sz w:val="20"/>
              <w:szCs w:val="24"/>
            </w:rPr>
            <w:t xml:space="preserve"> </w:t>
          </w:r>
          <w:r>
            <w:rPr>
              <w:sz w:val="20"/>
              <w:szCs w:val="24"/>
            </w:rPr>
            <w:t>0</w:t>
          </w:r>
        </w:p>
      </w:tc>
    </w:tr>
    <w:tr w:rsidR="0085319C" w:rsidRPr="00270736" w14:paraId="20D9825A" w14:textId="77777777" w:rsidTr="00557F84">
      <w:trPr>
        <w:trHeight w:val="292"/>
      </w:trPr>
      <w:tc>
        <w:tcPr>
          <w:tcW w:w="1702" w:type="dxa"/>
          <w:vMerge/>
          <w:tcBorders>
            <w:left w:val="single" w:sz="4" w:space="0" w:color="auto"/>
            <w:bottom w:val="single" w:sz="4" w:space="0" w:color="auto"/>
            <w:right w:val="single" w:sz="6" w:space="0" w:color="000000"/>
          </w:tcBorders>
          <w:shd w:val="clear" w:color="auto" w:fill="auto"/>
        </w:tcPr>
        <w:p w14:paraId="2D5D9F55" w14:textId="77777777" w:rsidR="0085319C" w:rsidRPr="00270736" w:rsidRDefault="0085319C" w:rsidP="0085319C">
          <w:pPr>
            <w:rPr>
              <w:sz w:val="2"/>
              <w:szCs w:val="2"/>
            </w:rPr>
          </w:pPr>
        </w:p>
      </w:tc>
      <w:tc>
        <w:tcPr>
          <w:tcW w:w="4394" w:type="dxa"/>
          <w:vMerge/>
          <w:tcBorders>
            <w:left w:val="single" w:sz="6" w:space="0" w:color="000000"/>
            <w:bottom w:val="single" w:sz="4" w:space="0" w:color="auto"/>
            <w:right w:val="single" w:sz="6" w:space="0" w:color="000000"/>
          </w:tcBorders>
          <w:shd w:val="clear" w:color="auto" w:fill="auto"/>
        </w:tcPr>
        <w:p w14:paraId="7BB6446F" w14:textId="77777777" w:rsidR="0085319C" w:rsidRPr="00270736" w:rsidRDefault="0085319C" w:rsidP="0085319C">
          <w:pPr>
            <w:rPr>
              <w:sz w:val="24"/>
              <w:szCs w:val="24"/>
            </w:rPr>
          </w:pPr>
        </w:p>
      </w:tc>
      <w:tc>
        <w:tcPr>
          <w:tcW w:w="20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6C5E3F" w14:textId="77777777" w:rsidR="0085319C" w:rsidRPr="00270736" w:rsidRDefault="0085319C" w:rsidP="0085319C">
          <w:pPr>
            <w:pStyle w:val="TableParagraph"/>
            <w:spacing w:line="176" w:lineRule="exact"/>
            <w:ind w:left="34"/>
            <w:rPr>
              <w:w w:val="105"/>
              <w:sz w:val="20"/>
              <w:szCs w:val="24"/>
            </w:rPr>
          </w:pPr>
          <w:r>
            <w:rPr>
              <w:w w:val="105"/>
              <w:sz w:val="20"/>
              <w:szCs w:val="24"/>
            </w:rPr>
            <w:t>Toplam Sayfa Sayısı</w:t>
          </w:r>
        </w:p>
      </w:tc>
      <w:tc>
        <w:tcPr>
          <w:tcW w:w="1839" w:type="dxa"/>
          <w:tcBorders>
            <w:top w:val="single" w:sz="4" w:space="0" w:color="auto"/>
            <w:left w:val="single" w:sz="6" w:space="0" w:color="000000"/>
            <w:bottom w:val="single" w:sz="6" w:space="0" w:color="000000"/>
            <w:right w:val="single" w:sz="4" w:space="0" w:color="auto"/>
          </w:tcBorders>
          <w:shd w:val="clear" w:color="auto" w:fill="auto"/>
          <w:vAlign w:val="center"/>
        </w:tcPr>
        <w:p w14:paraId="4A685D8B" w14:textId="0CED7BB4" w:rsidR="0085319C" w:rsidRPr="00270736" w:rsidRDefault="0085319C" w:rsidP="0085319C">
          <w:pPr>
            <w:pStyle w:val="TableParagraph"/>
            <w:spacing w:line="176" w:lineRule="exact"/>
            <w:ind w:right="444"/>
            <w:rPr>
              <w:sz w:val="20"/>
              <w:szCs w:val="24"/>
            </w:rPr>
          </w:pPr>
          <w:r>
            <w:rPr>
              <w:sz w:val="20"/>
              <w:szCs w:val="24"/>
            </w:rPr>
            <w:t xml:space="preserve"> </w:t>
          </w:r>
          <w:r>
            <w:rPr>
              <w:sz w:val="20"/>
              <w:szCs w:val="24"/>
            </w:rPr>
            <w:t>4</w:t>
          </w:r>
        </w:p>
      </w:tc>
    </w:tr>
  </w:tbl>
  <w:p w14:paraId="239C2189" w14:textId="77777777" w:rsidR="0085319C" w:rsidRDefault="0085319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2D"/>
    <w:rsid w:val="00557F84"/>
    <w:rsid w:val="005D1E2D"/>
    <w:rsid w:val="0085319C"/>
    <w:rsid w:val="00BF4D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CD2EA"/>
  <w15:docId w15:val="{8ACB86D3-0BF3-4B30-BA64-37448E10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ind w:left="202"/>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85319C"/>
    <w:pPr>
      <w:tabs>
        <w:tab w:val="center" w:pos="4536"/>
        <w:tab w:val="right" w:pos="9072"/>
      </w:tabs>
    </w:pPr>
  </w:style>
  <w:style w:type="character" w:customStyle="1" w:styleId="stBilgiChar">
    <w:name w:val="Üst Bilgi Char"/>
    <w:basedOn w:val="VarsaylanParagrafYazTipi"/>
    <w:link w:val="stBilgi"/>
    <w:uiPriority w:val="99"/>
    <w:rsid w:val="0085319C"/>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85319C"/>
    <w:pPr>
      <w:tabs>
        <w:tab w:val="center" w:pos="4536"/>
        <w:tab w:val="right" w:pos="9072"/>
      </w:tabs>
    </w:pPr>
  </w:style>
  <w:style w:type="character" w:customStyle="1" w:styleId="AltBilgiChar">
    <w:name w:val="Alt Bilgi Char"/>
    <w:basedOn w:val="VarsaylanParagrafYazTipi"/>
    <w:link w:val="AltBilgi"/>
    <w:uiPriority w:val="99"/>
    <w:rsid w:val="0085319C"/>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Upolat</dc:creator>
  <cp:lastModifiedBy>PC</cp:lastModifiedBy>
  <cp:revision>2</cp:revision>
  <dcterms:created xsi:type="dcterms:W3CDTF">2022-09-30T11:11:00Z</dcterms:created>
  <dcterms:modified xsi:type="dcterms:W3CDTF">2022-09-30T11:11:00Z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2019-08-06T00:00:00Z</vt:filetime>
  </property>
  <property fmtid="{D5CDD505-2E9C-101B-9397-08002B2CF9AE}" pid="3" name="Creator">
    <vt:lpwstr>Microsoft® Word 2010</vt:lpwstr>
  </property>
  <property fmtid="{D5CDD505-2E9C-101B-9397-08002B2CF9AE}" pid="4" name="LastSaved">
    <vt:filetime>2022-09-30T00:00:00Z</vt:filetime>
  </property>
</Properties>
</file>