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981C525" w:rsidR="00813F04" w:rsidRDefault="00813F04">
      <w:pPr>
        <w:spacing w:before="280" w:after="280" w:line="240" w:lineRule="auto"/>
        <w:rPr>
          <w:rFonts w:ascii="Times New Roman" w:eastAsia="Times New Roman" w:hAnsi="Times New Roman" w:cs="Times New Roman"/>
          <w:sz w:val="24"/>
          <w:szCs w:val="24"/>
        </w:rPr>
      </w:pPr>
    </w:p>
    <w:p w14:paraId="00000006" w14:textId="77777777" w:rsidR="00813F04" w:rsidRDefault="00DE2925">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1"/>
          <w:szCs w:val="21"/>
        </w:rPr>
        <w:t>BİRİNCİ BÖLÜM</w:t>
      </w:r>
      <w:r>
        <w:rPr>
          <w:rFonts w:ascii="Times New Roman" w:eastAsia="Times New Roman" w:hAnsi="Times New Roman" w:cs="Times New Roman"/>
          <w:sz w:val="21"/>
          <w:szCs w:val="21"/>
        </w:rPr>
        <w:br/>
      </w:r>
      <w:r>
        <w:rPr>
          <w:rFonts w:ascii="Times New Roman" w:eastAsia="Times New Roman" w:hAnsi="Times New Roman" w:cs="Times New Roman"/>
          <w:b/>
          <w:sz w:val="21"/>
          <w:szCs w:val="21"/>
        </w:rPr>
        <w:t>Amaç, Kapsam, Tanımlar</w:t>
      </w:r>
    </w:p>
    <w:p w14:paraId="00000007"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AMAÇ</w:t>
      </w:r>
    </w:p>
    <w:p w14:paraId="00000008" w14:textId="6F6EC877"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1</w:t>
      </w:r>
      <w:r>
        <w:rPr>
          <w:rFonts w:ascii="Times New Roman" w:eastAsia="Times New Roman" w:hAnsi="Times New Roman" w:cs="Times New Roman"/>
          <w:sz w:val="21"/>
          <w:szCs w:val="21"/>
        </w:rPr>
        <w:t xml:space="preserve"> İlgili bu formda yer alan esaslar; 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b/>
          <w:sz w:val="21"/>
          <w:szCs w:val="21"/>
        </w:rPr>
        <w:t xml:space="preserve">, </w:t>
      </w:r>
      <w:r>
        <w:rPr>
          <w:rFonts w:ascii="Times New Roman" w:eastAsia="Times New Roman" w:hAnsi="Times New Roman" w:cs="Times New Roman"/>
          <w:sz w:val="21"/>
          <w:szCs w:val="21"/>
        </w:rPr>
        <w:t>Eğitim ve Müfredat Komisyonu çalışma usul ve esaslarını belirlemek amacıyla düzenlenmiştir.</w:t>
      </w:r>
    </w:p>
    <w:p w14:paraId="00000009"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0A"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KAPSAM</w:t>
      </w:r>
    </w:p>
    <w:p w14:paraId="0000000B" w14:textId="064823C7"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2 </w:t>
      </w:r>
      <w:r>
        <w:rPr>
          <w:rFonts w:ascii="Times New Roman" w:eastAsia="Times New Roman" w:hAnsi="Times New Roman" w:cs="Times New Roman"/>
          <w:sz w:val="21"/>
          <w:szCs w:val="21"/>
        </w:rPr>
        <w:t xml:space="preserve">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b/>
          <w:sz w:val="21"/>
          <w:szCs w:val="21"/>
        </w:rPr>
        <w:t xml:space="preserve">, </w:t>
      </w:r>
      <w:r>
        <w:rPr>
          <w:rFonts w:ascii="Times New Roman" w:eastAsia="Times New Roman" w:hAnsi="Times New Roman" w:cs="Times New Roman"/>
          <w:sz w:val="21"/>
          <w:szCs w:val="21"/>
        </w:rPr>
        <w:t>Eğitim ve Müfredat Komisyonu’nun oluşumu, yönetim organları, çalışma ilkeleri ve görevlerini kapsar.</w:t>
      </w:r>
    </w:p>
    <w:p w14:paraId="0000000C"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0D" w14:textId="77777777"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TANIMLAR</w:t>
      </w:r>
    </w:p>
    <w:p w14:paraId="0000000E" w14:textId="15CCAF24"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3 </w:t>
      </w:r>
      <w:r>
        <w:rPr>
          <w:rFonts w:ascii="Times New Roman" w:eastAsia="Times New Roman" w:hAnsi="Times New Roman" w:cs="Times New Roman"/>
          <w:sz w:val="21"/>
          <w:szCs w:val="21"/>
        </w:rPr>
        <w:t xml:space="preserve">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b/>
          <w:sz w:val="21"/>
          <w:szCs w:val="21"/>
        </w:rPr>
        <w:t xml:space="preserve">, </w:t>
      </w:r>
      <w:r>
        <w:rPr>
          <w:rFonts w:ascii="Times New Roman" w:eastAsia="Times New Roman" w:hAnsi="Times New Roman" w:cs="Times New Roman"/>
          <w:sz w:val="21"/>
          <w:szCs w:val="21"/>
        </w:rPr>
        <w:t>Eğitim ve Müfredat Komisyonu’nun çalışma esaslarında yer alan tanım ve kısaltmaları ifade eder.</w:t>
      </w:r>
    </w:p>
    <w:p w14:paraId="0000000F" w14:textId="77777777" w:rsidR="00813F04" w:rsidRDefault="00DE2925">
      <w:pPr>
        <w:spacing w:before="280" w:after="28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Üniversite:</w:t>
      </w:r>
      <w:r>
        <w:rPr>
          <w:rFonts w:ascii="Times New Roman" w:eastAsia="Times New Roman" w:hAnsi="Times New Roman" w:cs="Times New Roman"/>
          <w:sz w:val="21"/>
          <w:szCs w:val="21"/>
        </w:rPr>
        <w:t xml:space="preserve"> Tekirdağ Namık Kemal Üniversitesi</w:t>
      </w:r>
    </w:p>
    <w:p w14:paraId="00000010" w14:textId="77777777" w:rsidR="00813F04" w:rsidRDefault="00DE2925">
      <w:pPr>
        <w:spacing w:before="280" w:after="28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Bölüm: </w:t>
      </w:r>
      <w:r>
        <w:rPr>
          <w:rFonts w:ascii="Times New Roman" w:eastAsia="Times New Roman" w:hAnsi="Times New Roman" w:cs="Times New Roman"/>
          <w:sz w:val="21"/>
          <w:szCs w:val="21"/>
        </w:rPr>
        <w:t>Hemşirelik Bölümü, Acil Yardım ve Afet Yönetimi Bölümü, Beslenme ve Diyetetik Bölümü</w:t>
      </w:r>
    </w:p>
    <w:p w14:paraId="00000011" w14:textId="720D0A4A" w:rsidR="00813F04" w:rsidRDefault="00CF0A1D">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Fakülte</w:t>
      </w:r>
      <w:r w:rsidR="00DE2925">
        <w:rPr>
          <w:rFonts w:ascii="Times New Roman" w:eastAsia="Times New Roman" w:hAnsi="Times New Roman" w:cs="Times New Roman"/>
          <w:b/>
          <w:sz w:val="21"/>
          <w:szCs w:val="21"/>
        </w:rPr>
        <w:t>:</w:t>
      </w:r>
      <w:r w:rsidR="00DE2925">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Sağlık Bilimleri Fakültesi</w:t>
      </w:r>
      <w:r w:rsidR="00DE2925">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Dekanlığı</w:t>
      </w:r>
    </w:p>
    <w:p w14:paraId="00000013" w14:textId="1297D812"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Eğitim ve Müfredat Komisyonu:</w:t>
      </w:r>
      <w:r>
        <w:rPr>
          <w:rFonts w:ascii="Times New Roman" w:eastAsia="Times New Roman" w:hAnsi="Times New Roman" w:cs="Times New Roman"/>
          <w:sz w:val="21"/>
          <w:szCs w:val="21"/>
        </w:rPr>
        <w:t xml:space="preserve"> 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Eğitim ve Müfredat Komisyonu</w:t>
      </w:r>
    </w:p>
    <w:p w14:paraId="00000014" w14:textId="13BF3989"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Başkan:</w:t>
      </w:r>
      <w:r>
        <w:rPr>
          <w:rFonts w:ascii="Times New Roman" w:eastAsia="Times New Roman" w:hAnsi="Times New Roman" w:cs="Times New Roman"/>
          <w:sz w:val="21"/>
          <w:szCs w:val="21"/>
        </w:rPr>
        <w:t xml:space="preserve"> 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Eğitim ve Müfredat Komisyonu Başkanı</w:t>
      </w:r>
    </w:p>
    <w:p w14:paraId="00000015" w14:textId="19F85480"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Eş Başkan:</w:t>
      </w:r>
      <w:r>
        <w:rPr>
          <w:rFonts w:ascii="Times New Roman" w:eastAsia="Times New Roman" w:hAnsi="Times New Roman" w:cs="Times New Roman"/>
          <w:sz w:val="21"/>
          <w:szCs w:val="21"/>
        </w:rPr>
        <w:t xml:space="preserve"> 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Eğitim ve Müfredat Komisyonu’nun Eş Başkanı</w:t>
      </w:r>
    </w:p>
    <w:p w14:paraId="00000016" w14:textId="1A9D71CB"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Raportör:</w:t>
      </w:r>
      <w:r>
        <w:rPr>
          <w:rFonts w:ascii="Times New Roman" w:eastAsia="Times New Roman" w:hAnsi="Times New Roman" w:cs="Times New Roman"/>
          <w:sz w:val="21"/>
          <w:szCs w:val="21"/>
        </w:rPr>
        <w:t xml:space="preserve"> 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Eğitim ve Müfredat Komisyonu Röportörü</w:t>
      </w:r>
    </w:p>
    <w:p w14:paraId="00000017" w14:textId="5172B7BB"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Üyeler:</w:t>
      </w:r>
      <w:r>
        <w:rPr>
          <w:rFonts w:ascii="Times New Roman" w:eastAsia="Times New Roman" w:hAnsi="Times New Roman" w:cs="Times New Roman"/>
          <w:sz w:val="21"/>
          <w:szCs w:val="21"/>
        </w:rPr>
        <w:t xml:space="preserve"> 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Eğitim ve Müfredat Komisyonu’nun üyelerini</w:t>
      </w:r>
    </w:p>
    <w:p w14:paraId="00000018" w14:textId="39E231BA"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İç ve Dış Paydaş:</w:t>
      </w:r>
      <w:r>
        <w:rPr>
          <w:rFonts w:ascii="Times New Roman" w:eastAsia="Times New Roman" w:hAnsi="Times New Roman" w:cs="Times New Roman"/>
          <w:sz w:val="21"/>
          <w:szCs w:val="21"/>
        </w:rPr>
        <w:t xml:space="preserve"> 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xml:space="preserve"> öğrencileri, öğretim elemanları, yöneticileri, idari personel, öğrenci işleri birimi, ulusal ve uluslararası </w:t>
      </w:r>
      <w:r w:rsidR="007E038F">
        <w:rPr>
          <w:rFonts w:ascii="Times New Roman" w:eastAsia="Times New Roman" w:hAnsi="Times New Roman" w:cs="Times New Roman"/>
          <w:sz w:val="21"/>
          <w:szCs w:val="21"/>
        </w:rPr>
        <w:t>alanlar ile</w:t>
      </w:r>
      <w:r>
        <w:rPr>
          <w:rFonts w:ascii="Times New Roman" w:eastAsia="Times New Roman" w:hAnsi="Times New Roman" w:cs="Times New Roman"/>
          <w:sz w:val="21"/>
          <w:szCs w:val="21"/>
        </w:rPr>
        <w:t xml:space="preserve"> ilgili kişi, kurum </w:t>
      </w:r>
      <w:proofErr w:type="gramStart"/>
      <w:r>
        <w:rPr>
          <w:rFonts w:ascii="Times New Roman" w:eastAsia="Times New Roman" w:hAnsi="Times New Roman" w:cs="Times New Roman"/>
          <w:sz w:val="21"/>
          <w:szCs w:val="21"/>
        </w:rPr>
        <w:t>ve</w:t>
      </w:r>
      <w:proofErr w:type="gramEnd"/>
      <w:r>
        <w:rPr>
          <w:rFonts w:ascii="Times New Roman" w:eastAsia="Times New Roman" w:hAnsi="Times New Roman" w:cs="Times New Roman"/>
          <w:sz w:val="21"/>
          <w:szCs w:val="21"/>
        </w:rPr>
        <w:t xml:space="preserve"> kuruluşlarını ifade eder.</w:t>
      </w:r>
    </w:p>
    <w:p w14:paraId="186DB213" w14:textId="64450A5C" w:rsidR="00C85D31" w:rsidRDefault="00DE2925" w:rsidP="00C85D31">
      <w:p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sz w:val="24"/>
          <w:szCs w:val="24"/>
        </w:rPr>
        <w:lastRenderedPageBreak/>
        <w:br/>
      </w:r>
      <w:r>
        <w:rPr>
          <w:rFonts w:ascii="Times New Roman" w:eastAsia="Times New Roman" w:hAnsi="Times New Roman" w:cs="Times New Roman"/>
          <w:b/>
          <w:sz w:val="21"/>
          <w:szCs w:val="21"/>
        </w:rPr>
        <w:t>İKİNCİ BÖLÜM</w:t>
      </w:r>
    </w:p>
    <w:p w14:paraId="47AB627C" w14:textId="77777777" w:rsidR="00C85D31" w:rsidRDefault="00C85D31" w:rsidP="00C85D31">
      <w:pPr>
        <w:spacing w:after="0" w:line="240" w:lineRule="auto"/>
        <w:jc w:val="center"/>
        <w:rPr>
          <w:rFonts w:ascii="Times New Roman" w:eastAsia="Times New Roman" w:hAnsi="Times New Roman" w:cs="Times New Roman"/>
          <w:sz w:val="24"/>
          <w:szCs w:val="24"/>
        </w:rPr>
      </w:pPr>
    </w:p>
    <w:p w14:paraId="0000001A" w14:textId="791792F5" w:rsidR="00813F04" w:rsidRDefault="00DE2925" w:rsidP="00C85D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1"/>
          <w:szCs w:val="21"/>
        </w:rPr>
        <w:t>KOMİSYONUN OLUŞUMU, YÖNETİM ORGANLARI, ÇALIŞMA İLKELERİ</w:t>
      </w:r>
    </w:p>
    <w:p w14:paraId="71967DB8" w14:textId="77777777" w:rsidR="009D0E67" w:rsidRDefault="009D0E67">
      <w:pPr>
        <w:spacing w:before="280" w:after="280" w:line="240" w:lineRule="auto"/>
        <w:jc w:val="both"/>
        <w:rPr>
          <w:rFonts w:ascii="Times New Roman" w:eastAsia="Times New Roman" w:hAnsi="Times New Roman" w:cs="Times New Roman"/>
          <w:b/>
          <w:sz w:val="21"/>
          <w:szCs w:val="21"/>
        </w:rPr>
      </w:pPr>
    </w:p>
    <w:p w14:paraId="0000001D" w14:textId="0523104F"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4</w:t>
      </w:r>
      <w:r>
        <w:rPr>
          <w:rFonts w:ascii="Times New Roman" w:eastAsia="Times New Roman" w:hAnsi="Times New Roman" w:cs="Times New Roman"/>
          <w:sz w:val="21"/>
          <w:szCs w:val="21"/>
        </w:rPr>
        <w:t xml:space="preserve"> Tekirdağ Namık Kemal Üniversitesi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Eğitim ve Müfredat Komisyonu’nu bölümlerdeki uzmanlıklarına göre her alanda en az bir kişi olmak üzere tüm komisyon üyeleri tarafından bir başkan, bir eş başkan ve en az bir raportör seçilir. Komisyon başkanı olmadığı zaman eş başkan görevi devralır. Komisyon başkanın altı aydan daha fazla görevini sürdüremediği durumda görevi sonra ererek yeniden başkan belirlenir. Herhangi bir üyenin görev süresi dolmadan komisyon üyeliğinden ayrılması halinde komisyon başkanı tarafından yeni üye talebinde bulunulur.</w:t>
      </w:r>
    </w:p>
    <w:p w14:paraId="0000001E"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1F"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KOMİSYONUN YÖNETİM ORGANLARI</w:t>
      </w:r>
    </w:p>
    <w:p w14:paraId="00000020" w14:textId="77777777"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5</w:t>
      </w:r>
      <w:r>
        <w:rPr>
          <w:rFonts w:ascii="Times New Roman" w:eastAsia="Times New Roman" w:hAnsi="Times New Roman" w:cs="Times New Roman"/>
          <w:sz w:val="21"/>
          <w:szCs w:val="21"/>
        </w:rPr>
        <w:t> Komisyonun yönetim organları komisyon başkanı, eş başkan, raportör ve üyelerdir.</w:t>
      </w:r>
    </w:p>
    <w:p w14:paraId="00000021"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22"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KOMİSYONUN ÇALIŞMA İLKELERİ</w:t>
      </w:r>
    </w:p>
    <w:p w14:paraId="00000023" w14:textId="77777777" w:rsidR="00813F04" w:rsidRDefault="00DE2925">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6 </w:t>
      </w:r>
      <w:r>
        <w:rPr>
          <w:rFonts w:ascii="Times New Roman" w:eastAsia="Times New Roman" w:hAnsi="Times New Roman" w:cs="Times New Roman"/>
          <w:sz w:val="21"/>
          <w:szCs w:val="21"/>
        </w:rPr>
        <w:t>Aşağıda söz konusu ilkeler belirlenmiştir:</w:t>
      </w:r>
    </w:p>
    <w:p w14:paraId="00000024" w14:textId="04A0572D" w:rsidR="00813F04" w:rsidRDefault="00DE2925">
      <w:pPr>
        <w:numPr>
          <w:ilvl w:val="0"/>
          <w:numId w:val="3"/>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 xml:space="preserve">Komisyon ayda en az </w:t>
      </w:r>
      <w:r w:rsidR="004451B9">
        <w:rPr>
          <w:rFonts w:ascii="Times New Roman" w:eastAsia="Times New Roman" w:hAnsi="Times New Roman" w:cs="Times New Roman"/>
          <w:sz w:val="21"/>
          <w:szCs w:val="21"/>
        </w:rPr>
        <w:t>bir</w:t>
      </w:r>
      <w:r>
        <w:rPr>
          <w:rFonts w:ascii="Times New Roman" w:eastAsia="Times New Roman" w:hAnsi="Times New Roman" w:cs="Times New Roman"/>
          <w:sz w:val="21"/>
          <w:szCs w:val="21"/>
        </w:rPr>
        <w:t xml:space="preserve"> kez</w:t>
      </w:r>
      <w:r w:rsidR="004451B9">
        <w:rPr>
          <w:rFonts w:ascii="Times New Roman" w:eastAsia="Times New Roman" w:hAnsi="Times New Roman" w:cs="Times New Roman"/>
          <w:sz w:val="21"/>
          <w:szCs w:val="21"/>
        </w:rPr>
        <w:t xml:space="preserve"> (gerektiğinde daha fazla)</w:t>
      </w:r>
      <w:r>
        <w:rPr>
          <w:rFonts w:ascii="Times New Roman" w:eastAsia="Times New Roman" w:hAnsi="Times New Roman" w:cs="Times New Roman"/>
          <w:sz w:val="21"/>
          <w:szCs w:val="21"/>
        </w:rPr>
        <w:t xml:space="preserve"> toplanır.</w:t>
      </w:r>
    </w:p>
    <w:p w14:paraId="00000025" w14:textId="01385AB3" w:rsidR="00813F04" w:rsidRDefault="00DE292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 xml:space="preserve">Uzmanlık alanlarına göre komisyonda bulunan üyeler diğer aynı alandaki öğretim elemanları ile </w:t>
      </w:r>
      <w:proofErr w:type="gramStart"/>
      <w:r w:rsidR="004E0502">
        <w:rPr>
          <w:rFonts w:ascii="Times New Roman" w:eastAsia="Times New Roman" w:hAnsi="Times New Roman" w:cs="Times New Roman"/>
          <w:sz w:val="21"/>
          <w:szCs w:val="21"/>
        </w:rPr>
        <w:t>işbirliği</w:t>
      </w:r>
      <w:proofErr w:type="gramEnd"/>
      <w:r w:rsidR="004E0502">
        <w:rPr>
          <w:rFonts w:ascii="Times New Roman" w:eastAsia="Times New Roman" w:hAnsi="Times New Roman" w:cs="Times New Roman"/>
          <w:sz w:val="21"/>
          <w:szCs w:val="21"/>
        </w:rPr>
        <w:t xml:space="preserve"> içerisinde çalışır.</w:t>
      </w:r>
    </w:p>
    <w:p w14:paraId="00000026" w14:textId="77777777" w:rsidR="00813F04" w:rsidRDefault="00DE292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Her bir üye komisyon alanlarına özgü görüş ve önerilerin sunulması, önerilerin iletilmesi, komisyonun çalışma konuları ve alanları ile ilgili gündemlerin incelenmesi, değerlendirilmesi, tartışılması, çalışılması, karara bağlanması ve alınan kararların uygulanmasından sorumludur.</w:t>
      </w:r>
    </w:p>
    <w:p w14:paraId="00000027" w14:textId="77777777" w:rsidR="00813F04" w:rsidRDefault="00DE292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Komisyon eğitim ve öğretimin kalitesini artırmaya ve öğretim elemanlarının gelişimini desteklemeye yönelik gelen her öneriyi değerlendirir. Üzerinde çalışılması gereken öneriler için çalışma planı hazırlanır.</w:t>
      </w:r>
    </w:p>
    <w:p w14:paraId="00000028" w14:textId="77777777" w:rsidR="00813F04" w:rsidRDefault="00DE292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Komisyon tarafından çalışılması gereken ya da önerilen konular için gündem oluşturulur.</w:t>
      </w:r>
    </w:p>
    <w:p w14:paraId="00000029" w14:textId="7546C5B2" w:rsidR="00813F04" w:rsidRDefault="00DE292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 xml:space="preserve">Gereksinim doğrultusunda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xml:space="preserve"> yönetimi, öğretim elemanları başta olmak üzere diğer ilgili iç ve dış paydaşların görüşleri ve önerileri alınır.</w:t>
      </w:r>
    </w:p>
    <w:p w14:paraId="0000002A" w14:textId="4ABBDF41" w:rsidR="00813F04" w:rsidRDefault="00DE292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 xml:space="preserve">Komisyonun gündemi doğrultusunda çalışılan ve alınan kararlar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xml:space="preserve"> </w:t>
      </w:r>
      <w:r w:rsidR="00CF0A1D">
        <w:rPr>
          <w:rFonts w:ascii="Times New Roman" w:eastAsia="Times New Roman" w:hAnsi="Times New Roman" w:cs="Times New Roman"/>
          <w:sz w:val="21"/>
          <w:szCs w:val="21"/>
        </w:rPr>
        <w:t>Dekanlığına</w:t>
      </w:r>
      <w:r>
        <w:rPr>
          <w:rFonts w:ascii="Times New Roman" w:eastAsia="Times New Roman" w:hAnsi="Times New Roman" w:cs="Times New Roman"/>
          <w:sz w:val="21"/>
          <w:szCs w:val="21"/>
        </w:rPr>
        <w:t xml:space="preserve"> sunulur, öğretim elemanları ve diğer ilgili iç ve dış paydaşlarla paylaşılır.</w:t>
      </w:r>
    </w:p>
    <w:p w14:paraId="0000002B" w14:textId="77777777" w:rsidR="00813F04" w:rsidRDefault="00DE292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Gelen geribildirimler doğrultusunda yapılan çalışmalar yeniden incelenir, değerlendirilir ve son şekli verilerek raporla iletilir.</w:t>
      </w:r>
    </w:p>
    <w:p w14:paraId="0000002C" w14:textId="77777777" w:rsidR="00813F04" w:rsidRDefault="00DE292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Komisyon gereksinim duyduğunda bünyesinde alt çalışma birimleri oluşturabilir.</w:t>
      </w:r>
    </w:p>
    <w:p w14:paraId="0000002D" w14:textId="77777777" w:rsidR="00813F04" w:rsidRDefault="00DE2925">
      <w:pPr>
        <w:numPr>
          <w:ilvl w:val="0"/>
          <w:numId w:val="3"/>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Komisyon üye salt çoğunluğu ile toplanır ve toplantıya katılan üye salt çoğunluğu ile karar alınır. Toplantıya katılamayan üyelerin görüşlerine gerektiğinde başvurulur.</w:t>
      </w:r>
    </w:p>
    <w:p w14:paraId="0000002E"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F67A61E" w14:textId="10813CA1" w:rsidR="00E91F97" w:rsidRDefault="00E91F97">
      <w:pPr>
        <w:spacing w:before="280" w:after="280" w:line="240" w:lineRule="auto"/>
        <w:rPr>
          <w:rFonts w:ascii="Times New Roman" w:eastAsia="Times New Roman" w:hAnsi="Times New Roman" w:cs="Times New Roman"/>
          <w:b/>
          <w:sz w:val="21"/>
          <w:szCs w:val="21"/>
        </w:rPr>
      </w:pPr>
    </w:p>
    <w:p w14:paraId="5BC9B2C7" w14:textId="63DC7334" w:rsidR="00C85D31" w:rsidRDefault="00C85D31">
      <w:pPr>
        <w:spacing w:before="280" w:after="280" w:line="240" w:lineRule="auto"/>
        <w:rPr>
          <w:rFonts w:ascii="Times New Roman" w:eastAsia="Times New Roman" w:hAnsi="Times New Roman" w:cs="Times New Roman"/>
          <w:b/>
          <w:sz w:val="21"/>
          <w:szCs w:val="21"/>
        </w:rPr>
      </w:pPr>
    </w:p>
    <w:p w14:paraId="1B3C75D9" w14:textId="1561C853" w:rsidR="00C85D31" w:rsidRDefault="00C85D31">
      <w:pPr>
        <w:spacing w:before="280" w:after="280" w:line="240" w:lineRule="auto"/>
        <w:rPr>
          <w:rFonts w:ascii="Times New Roman" w:eastAsia="Times New Roman" w:hAnsi="Times New Roman" w:cs="Times New Roman"/>
          <w:b/>
          <w:sz w:val="21"/>
          <w:szCs w:val="21"/>
        </w:rPr>
      </w:pPr>
    </w:p>
    <w:p w14:paraId="634EE21B" w14:textId="77777777" w:rsidR="00C85D31" w:rsidRDefault="00C85D31">
      <w:pPr>
        <w:spacing w:before="280" w:after="280" w:line="240" w:lineRule="auto"/>
        <w:rPr>
          <w:rFonts w:ascii="Times New Roman" w:eastAsia="Times New Roman" w:hAnsi="Times New Roman" w:cs="Times New Roman"/>
          <w:b/>
          <w:sz w:val="21"/>
          <w:szCs w:val="21"/>
        </w:rPr>
      </w:pPr>
    </w:p>
    <w:p w14:paraId="0000002F" w14:textId="2795F869"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KOMİSYONUN GÖREVLERİ</w:t>
      </w:r>
    </w:p>
    <w:p w14:paraId="00000030"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7</w:t>
      </w:r>
      <w:r>
        <w:rPr>
          <w:rFonts w:ascii="Times New Roman" w:eastAsia="Times New Roman" w:hAnsi="Times New Roman" w:cs="Times New Roman"/>
          <w:sz w:val="21"/>
          <w:szCs w:val="21"/>
        </w:rPr>
        <w:t> Komisyon görevleri aşağıda belirtildiği şekildedir:</w:t>
      </w:r>
    </w:p>
    <w:p w14:paraId="00000031" w14:textId="77777777" w:rsidR="00813F04" w:rsidRDefault="00DE2925">
      <w:pPr>
        <w:numPr>
          <w:ilvl w:val="0"/>
          <w:numId w:val="4"/>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 xml:space="preserve">Başkan, eş başkan ve </w:t>
      </w:r>
      <w:proofErr w:type="spellStart"/>
      <w:r>
        <w:rPr>
          <w:rFonts w:ascii="Times New Roman" w:eastAsia="Times New Roman" w:hAnsi="Times New Roman" w:cs="Times New Roman"/>
          <w:sz w:val="21"/>
          <w:szCs w:val="21"/>
        </w:rPr>
        <w:t>rapörtör</w:t>
      </w:r>
      <w:proofErr w:type="spellEnd"/>
      <w:r>
        <w:rPr>
          <w:rFonts w:ascii="Times New Roman" w:eastAsia="Times New Roman" w:hAnsi="Times New Roman" w:cs="Times New Roman"/>
          <w:sz w:val="21"/>
          <w:szCs w:val="21"/>
        </w:rPr>
        <w:t xml:space="preserve"> komisyon üyeleri arasından belirlenir.</w:t>
      </w:r>
    </w:p>
    <w:p w14:paraId="00000032" w14:textId="76A3C5C5" w:rsidR="00813F04" w:rsidRDefault="00DE2925">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 xml:space="preserve">Komisyon bölüm eğitim öğretim komisyonlarından gelen önerileri ilgili mevzuat çerçevesinde inceler, değerlendirir ve alınan kararları </w:t>
      </w:r>
      <w:r w:rsidR="00CF0A1D">
        <w:rPr>
          <w:rFonts w:ascii="Times New Roman" w:eastAsia="Times New Roman" w:hAnsi="Times New Roman" w:cs="Times New Roman"/>
          <w:sz w:val="21"/>
          <w:szCs w:val="21"/>
        </w:rPr>
        <w:t>Sağlık Bilimleri Fakültesi</w:t>
      </w:r>
      <w:r>
        <w:rPr>
          <w:rFonts w:ascii="Times New Roman" w:eastAsia="Times New Roman" w:hAnsi="Times New Roman" w:cs="Times New Roman"/>
          <w:sz w:val="21"/>
          <w:szCs w:val="21"/>
        </w:rPr>
        <w:t xml:space="preserve"> </w:t>
      </w:r>
      <w:r w:rsidR="00CF0A1D">
        <w:rPr>
          <w:rFonts w:ascii="Times New Roman" w:eastAsia="Times New Roman" w:hAnsi="Times New Roman" w:cs="Times New Roman"/>
          <w:sz w:val="21"/>
          <w:szCs w:val="21"/>
        </w:rPr>
        <w:t>Dekanlığına</w:t>
      </w:r>
      <w:r>
        <w:rPr>
          <w:rFonts w:ascii="Times New Roman" w:eastAsia="Times New Roman" w:hAnsi="Times New Roman" w:cs="Times New Roman"/>
          <w:sz w:val="21"/>
          <w:szCs w:val="21"/>
        </w:rPr>
        <w:t xml:space="preserve"> sunar. </w:t>
      </w:r>
    </w:p>
    <w:p w14:paraId="00000033" w14:textId="104EC74E" w:rsidR="00813F04" w:rsidRPr="00DD40D2" w:rsidRDefault="00DE2925">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Bölüm</w:t>
      </w:r>
      <w:r w:rsidR="00131BB4">
        <w:rPr>
          <w:rFonts w:ascii="Times New Roman" w:eastAsia="Times New Roman" w:hAnsi="Times New Roman" w:cs="Times New Roman"/>
          <w:sz w:val="21"/>
          <w:szCs w:val="21"/>
        </w:rPr>
        <w:t>lerden</w:t>
      </w:r>
      <w:r>
        <w:rPr>
          <w:rFonts w:ascii="Times New Roman" w:eastAsia="Times New Roman" w:hAnsi="Times New Roman" w:cs="Times New Roman"/>
          <w:sz w:val="21"/>
          <w:szCs w:val="21"/>
        </w:rPr>
        <w:t xml:space="preserve"> açılması önerilen yeni derslere, mevcut bir dersin kapatılmasına, var olan derslerde yapılacak değişikliklere ya da derslerin statüsünün yapılandırılmasına ilişkin görüş</w:t>
      </w:r>
      <w:r w:rsidR="006E2525">
        <w:rPr>
          <w:rFonts w:ascii="Times New Roman" w:eastAsia="Times New Roman" w:hAnsi="Times New Roman" w:cs="Times New Roman"/>
          <w:sz w:val="21"/>
          <w:szCs w:val="21"/>
        </w:rPr>
        <w:t xml:space="preserve">lerini </w:t>
      </w:r>
      <w:r w:rsidR="00DD40D2" w:rsidRPr="00DD40D2">
        <w:rPr>
          <w:rFonts w:ascii="Times New Roman" w:eastAsia="Times New Roman" w:hAnsi="Times New Roman" w:cs="Times New Roman"/>
          <w:sz w:val="21"/>
          <w:szCs w:val="21"/>
        </w:rPr>
        <w:t>bir üst komisyona/</w:t>
      </w:r>
      <w:r w:rsidR="00CF0A1D">
        <w:rPr>
          <w:rFonts w:ascii="Times New Roman" w:eastAsia="Times New Roman" w:hAnsi="Times New Roman" w:cs="Times New Roman"/>
          <w:sz w:val="21"/>
          <w:szCs w:val="21"/>
        </w:rPr>
        <w:t>dekanlığa</w:t>
      </w:r>
      <w:r w:rsidR="00DD40D2" w:rsidRPr="00DD40D2">
        <w:rPr>
          <w:rFonts w:ascii="Times New Roman" w:eastAsia="Times New Roman" w:hAnsi="Times New Roman" w:cs="Times New Roman"/>
          <w:sz w:val="21"/>
          <w:szCs w:val="21"/>
        </w:rPr>
        <w:t xml:space="preserve"> sunar.</w:t>
      </w:r>
      <w:r w:rsidR="006E2525" w:rsidRPr="00DD40D2">
        <w:rPr>
          <w:rFonts w:ascii="Times New Roman" w:eastAsia="Times New Roman" w:hAnsi="Times New Roman" w:cs="Times New Roman"/>
          <w:sz w:val="21"/>
          <w:szCs w:val="21"/>
        </w:rPr>
        <w:t xml:space="preserve"> </w:t>
      </w:r>
    </w:p>
    <w:p w14:paraId="00000034" w14:textId="77777777" w:rsidR="00813F04" w:rsidRDefault="00DE2925">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Eğitim kalitesinin iyileştirilmesine yönelik toplantılar düzenleyerek komisyon içerisinde tartışmaya açar ve sonuçları rapor eder.</w:t>
      </w:r>
    </w:p>
    <w:p w14:paraId="00000035" w14:textId="77777777" w:rsidR="00813F04" w:rsidRDefault="00DE2925">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Üniversite’nin yasa ve yönetmeliklerini takip eder, yüksekokula özgü sürecin takibini sağlar.</w:t>
      </w:r>
    </w:p>
    <w:p w14:paraId="00000036" w14:textId="77777777" w:rsidR="00813F04" w:rsidRDefault="00DE2925">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Eğitim programlarına alınacak öğrenci kontenjanı, öğretim elemanı gereksinimi derslik/laboratuvar olanakları ve mezunların istihdamı gibi konuları dikkate alarak değerlendirir ve görüş sunar.</w:t>
      </w:r>
    </w:p>
    <w:p w14:paraId="00000037" w14:textId="34CD1613" w:rsidR="00813F04" w:rsidRDefault="00DE2925">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Öğretim el</w:t>
      </w:r>
      <w:r w:rsidR="00A860F5">
        <w:rPr>
          <w:rFonts w:ascii="Times New Roman" w:eastAsia="Times New Roman" w:hAnsi="Times New Roman" w:cs="Times New Roman"/>
          <w:sz w:val="21"/>
          <w:szCs w:val="21"/>
        </w:rPr>
        <w:t>e</w:t>
      </w:r>
      <w:r>
        <w:rPr>
          <w:rFonts w:ascii="Times New Roman" w:eastAsia="Times New Roman" w:hAnsi="Times New Roman" w:cs="Times New Roman"/>
          <w:sz w:val="21"/>
          <w:szCs w:val="21"/>
        </w:rPr>
        <w:t>manlarının gelişimi için çalışmalar yapar ve önerilerde bulunur.</w:t>
      </w:r>
    </w:p>
    <w:p w14:paraId="00000038" w14:textId="77777777" w:rsidR="00813F04" w:rsidRDefault="00DE2925">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Kurum içi ve kurum dışı ilgili komisyonlar ile işbirliği yapar.</w:t>
      </w:r>
    </w:p>
    <w:p w14:paraId="00000039" w14:textId="77777777" w:rsidR="00813F04" w:rsidRDefault="00DE2925">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Ulusal ve uluslararası sağlık eğitimine ilişkin düzenlemeleri inceler, değerlendirir ve eğitim- öğretim programında iyileştirmeler yapılması konusunda görüş bildirir.</w:t>
      </w:r>
    </w:p>
    <w:p w14:paraId="0000003A" w14:textId="77777777" w:rsidR="00813F04" w:rsidRDefault="00DE2925">
      <w:pPr>
        <w:numPr>
          <w:ilvl w:val="0"/>
          <w:numId w:val="4"/>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Her akademik yarıyıl sonunda eğitim öğretim süreçleri ile ilgili iyileştirme önerilerini değerlendirmek amacıyla toplanır.</w:t>
      </w:r>
    </w:p>
    <w:p w14:paraId="0000003B"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3C" w14:textId="77777777" w:rsidR="00813F04" w:rsidRDefault="00DE2925">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1"/>
          <w:szCs w:val="21"/>
        </w:rPr>
        <w:t>KOMİSYON ÜYELERİNİN GÖREVLERİ</w:t>
      </w:r>
    </w:p>
    <w:p w14:paraId="0000003D"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BAŞKANIN VE EŞBAŞKANIN GÖREVLERİ</w:t>
      </w:r>
    </w:p>
    <w:p w14:paraId="0000003E"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8</w:t>
      </w:r>
    </w:p>
    <w:p w14:paraId="0000003F" w14:textId="77777777" w:rsidR="00813F04" w:rsidRDefault="00DE2925">
      <w:pPr>
        <w:numPr>
          <w:ilvl w:val="0"/>
          <w:numId w:val="5"/>
        </w:num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1"/>
          <w:szCs w:val="21"/>
        </w:rPr>
        <w:t>Gerekli hallerde alt komisyonlar kurmak.</w:t>
      </w:r>
    </w:p>
    <w:p w14:paraId="00000040" w14:textId="77777777" w:rsidR="00813F04" w:rsidRDefault="00DE2925">
      <w:pPr>
        <w:numPr>
          <w:ilvl w:val="0"/>
          <w:numId w:val="5"/>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1"/>
          <w:szCs w:val="21"/>
        </w:rPr>
        <w:t>Raportörlerin tutmuş olduğu komisyon raporlarını gözden geçirmek.</w:t>
      </w:r>
    </w:p>
    <w:p w14:paraId="00000041"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42"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RAPORTÖRÜN GÖREVLERİ</w:t>
      </w:r>
    </w:p>
    <w:p w14:paraId="00000043"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9</w:t>
      </w:r>
    </w:p>
    <w:p w14:paraId="00000044" w14:textId="77777777" w:rsidR="00813F04" w:rsidRDefault="00DE2925">
      <w:pPr>
        <w:numPr>
          <w:ilvl w:val="0"/>
          <w:numId w:val="1"/>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Raportör; belirlenen toplantı gündemini ve toplantı tarihini komisyon üyelerine bildirmek, komisyonun toplantı tutanaklarını dosyalayıp arşivlemek toplantı sırasında alınan kararları raporlamak ve komisyon başkanına sunmak, komisyon üyeleri arasında iletişimi sağlamak</w:t>
      </w:r>
    </w:p>
    <w:p w14:paraId="00000045" w14:textId="77777777" w:rsidR="00813F04" w:rsidRDefault="00DE2925">
      <w:pPr>
        <w:numPr>
          <w:ilvl w:val="0"/>
          <w:numId w:val="1"/>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1"/>
          <w:szCs w:val="21"/>
        </w:rPr>
        <w:t>Komisyon toplantılarına katılmak</w:t>
      </w:r>
    </w:p>
    <w:p w14:paraId="00000046" w14:textId="77777777" w:rsidR="00813F04" w:rsidRDefault="00DE292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1"/>
          <w:szCs w:val="21"/>
        </w:rPr>
        <w:t>Madde 10</w:t>
      </w:r>
      <w:r>
        <w:rPr>
          <w:rFonts w:ascii="Times New Roman" w:eastAsia="Times New Roman" w:hAnsi="Times New Roman" w:cs="Times New Roman"/>
          <w:sz w:val="21"/>
          <w:szCs w:val="21"/>
        </w:rPr>
        <w:t> İlgili üyelerin görevleri aşağıda listelenmiştir:</w:t>
      </w:r>
    </w:p>
    <w:p w14:paraId="00000047" w14:textId="77777777" w:rsidR="00813F04" w:rsidRDefault="00DE2925">
      <w:pPr>
        <w:numPr>
          <w:ilvl w:val="0"/>
          <w:numId w:val="2"/>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Başkan tarafından bildirilen görevleri yerine getirmek.</w:t>
      </w:r>
    </w:p>
    <w:p w14:paraId="00000048" w14:textId="5D2ACB4A" w:rsidR="00813F04" w:rsidRDefault="00DE2925">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Üniversitenin lisans eğitim-öğretim programları mevzuatı takip etmek.</w:t>
      </w:r>
    </w:p>
    <w:p w14:paraId="00000049" w14:textId="77777777" w:rsidR="00813F04" w:rsidRDefault="00DE2925">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Sorumlu oldukları derslerde ve uygulamalarda; öğrencilerden gelen geribildirimleri komisyon ile paylaşmak</w:t>
      </w:r>
    </w:p>
    <w:p w14:paraId="0000004A" w14:textId="77777777" w:rsidR="00813F04" w:rsidRDefault="00DE2925">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lastRenderedPageBreak/>
        <w:t>Gündemde yer alan konuların görüşülmesi sırasında gerekirse, diğer alanlarda bulunan öğretim elemanlarının görüş ve önerilerini almak.</w:t>
      </w:r>
    </w:p>
    <w:p w14:paraId="0000004B" w14:textId="77777777" w:rsidR="00813F04" w:rsidRDefault="00DE2925">
      <w:pPr>
        <w:numPr>
          <w:ilvl w:val="0"/>
          <w:numId w:val="2"/>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Eğitim-öğretim faaliyetlerinde kaliteyi arttırmak amacıyla güncel gelişmeleri takip etmek ve komisyonla paylaşmak. Ayrıca komisyonda sunulan eğitim ve öğretimle ilgili konuları incelemek ve görüş bildirmek</w:t>
      </w:r>
    </w:p>
    <w:p w14:paraId="0000004C" w14:textId="77777777" w:rsidR="00813F04" w:rsidRDefault="00813F04"/>
    <w:sectPr w:rsidR="00813F04" w:rsidSect="00C85D3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2794" w14:textId="77777777" w:rsidR="00A80AA7" w:rsidRDefault="00A80AA7" w:rsidP="00C85D31">
      <w:pPr>
        <w:spacing w:after="0" w:line="240" w:lineRule="auto"/>
      </w:pPr>
      <w:r>
        <w:separator/>
      </w:r>
    </w:p>
  </w:endnote>
  <w:endnote w:type="continuationSeparator" w:id="0">
    <w:p w14:paraId="6AB94BB4" w14:textId="77777777" w:rsidR="00A80AA7" w:rsidRDefault="00A80AA7" w:rsidP="00C8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807" w14:textId="77777777" w:rsidR="00C85D31" w:rsidRDefault="00C85D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F0B7" w14:textId="77777777" w:rsidR="00C85D31" w:rsidRDefault="00C85D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E4B7" w14:textId="77777777" w:rsidR="00C85D31" w:rsidRDefault="00C85D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25042" w14:textId="77777777" w:rsidR="00A80AA7" w:rsidRDefault="00A80AA7" w:rsidP="00C85D31">
      <w:pPr>
        <w:spacing w:after="0" w:line="240" w:lineRule="auto"/>
      </w:pPr>
      <w:r>
        <w:separator/>
      </w:r>
    </w:p>
  </w:footnote>
  <w:footnote w:type="continuationSeparator" w:id="0">
    <w:p w14:paraId="344EE013" w14:textId="77777777" w:rsidR="00A80AA7" w:rsidRDefault="00A80AA7" w:rsidP="00C85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B6D7" w14:textId="77777777" w:rsidR="00C85D31" w:rsidRDefault="00C85D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E94E" w14:textId="77777777" w:rsidR="00C85D31" w:rsidRDefault="00C85D3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7" w:type="dxa"/>
      <w:tblInd w:w="-5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97"/>
      <w:gridCol w:w="4961"/>
      <w:gridCol w:w="2126"/>
      <w:gridCol w:w="1843"/>
    </w:tblGrid>
    <w:tr w:rsidR="00C85D31" w:rsidRPr="00270736" w14:paraId="0195E687" w14:textId="77777777" w:rsidTr="005D1545">
      <w:trPr>
        <w:trHeight w:val="291"/>
      </w:trPr>
      <w:tc>
        <w:tcPr>
          <w:tcW w:w="1497" w:type="dxa"/>
          <w:vMerge w:val="restart"/>
          <w:tcBorders>
            <w:top w:val="single" w:sz="4" w:space="0" w:color="auto"/>
            <w:left w:val="single" w:sz="4" w:space="0" w:color="auto"/>
            <w:right w:val="single" w:sz="6" w:space="0" w:color="000000"/>
          </w:tcBorders>
          <w:shd w:val="clear" w:color="auto" w:fill="auto"/>
        </w:tcPr>
        <w:p w14:paraId="375C7260" w14:textId="77777777" w:rsidR="00C85D31" w:rsidRPr="00270736" w:rsidRDefault="00C85D31" w:rsidP="00C85D31">
          <w:pPr>
            <w:pStyle w:val="TableParagraph"/>
            <w:spacing w:before="2"/>
            <w:rPr>
              <w:sz w:val="8"/>
            </w:rPr>
          </w:pPr>
        </w:p>
        <w:p w14:paraId="709C8EF6" w14:textId="77777777" w:rsidR="00C85D31" w:rsidRPr="00270736" w:rsidRDefault="00C85D31" w:rsidP="00C85D31">
          <w:pPr>
            <w:pStyle w:val="TableParagraph"/>
            <w:ind w:left="323"/>
            <w:rPr>
              <w:sz w:val="20"/>
            </w:rPr>
          </w:pPr>
          <w:r>
            <w:rPr>
              <w:noProof/>
              <w:lang w:bidi="ar-SA"/>
            </w:rPr>
            <w:drawing>
              <wp:anchor distT="0" distB="0" distL="114300" distR="114300" simplePos="0" relativeHeight="251661312" behindDoc="1" locked="0" layoutInCell="1" allowOverlap="1" wp14:anchorId="6F126FAC" wp14:editId="3152FEA4">
                <wp:simplePos x="0" y="0"/>
                <wp:positionH relativeFrom="column">
                  <wp:posOffset>44450</wp:posOffset>
                </wp:positionH>
                <wp:positionV relativeFrom="paragraph">
                  <wp:posOffset>46355</wp:posOffset>
                </wp:positionV>
                <wp:extent cx="819150" cy="7715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tcBorders>
            <w:top w:val="single" w:sz="4" w:space="0" w:color="auto"/>
            <w:left w:val="single" w:sz="6" w:space="0" w:color="000000"/>
            <w:right w:val="single" w:sz="6" w:space="0" w:color="000000"/>
          </w:tcBorders>
          <w:shd w:val="clear" w:color="auto" w:fill="auto"/>
          <w:vAlign w:val="center"/>
        </w:tcPr>
        <w:p w14:paraId="41255526" w14:textId="77777777" w:rsidR="00C85D31" w:rsidRPr="00C85D31" w:rsidRDefault="00C85D31" w:rsidP="00C85D31">
          <w:pPr>
            <w:spacing w:before="15" w:after="0"/>
            <w:jc w:val="center"/>
            <w:rPr>
              <w:rFonts w:ascii="Times New Roman" w:hAnsi="Times New Roman" w:cs="Times New Roman"/>
              <w:b/>
              <w:sz w:val="24"/>
              <w:szCs w:val="24"/>
            </w:rPr>
          </w:pPr>
          <w:bookmarkStart w:id="0" w:name="_Hlk132812937"/>
          <w:r w:rsidRPr="00C85D31">
            <w:rPr>
              <w:rFonts w:ascii="Times New Roman" w:hAnsi="Times New Roman" w:cs="Times New Roman"/>
              <w:b/>
              <w:sz w:val="24"/>
              <w:szCs w:val="24"/>
            </w:rPr>
            <w:t xml:space="preserve">TNKÜ        </w:t>
          </w:r>
        </w:p>
        <w:p w14:paraId="50406E4B" w14:textId="2148EC3F" w:rsidR="00C85D31" w:rsidRPr="00C85D31" w:rsidRDefault="00C85D31" w:rsidP="00C85D31">
          <w:pPr>
            <w:spacing w:before="15" w:after="0"/>
            <w:jc w:val="center"/>
            <w:rPr>
              <w:rFonts w:ascii="Times New Roman" w:hAnsi="Times New Roman" w:cs="Times New Roman"/>
              <w:b/>
              <w:sz w:val="24"/>
              <w:szCs w:val="24"/>
            </w:rPr>
          </w:pPr>
          <w:r w:rsidRPr="00C85D31">
            <w:rPr>
              <w:rFonts w:ascii="Times New Roman" w:hAnsi="Times New Roman" w:cs="Times New Roman"/>
              <w:b/>
              <w:sz w:val="24"/>
              <w:szCs w:val="24"/>
            </w:rPr>
            <w:t>SAĞLIK</w:t>
          </w:r>
          <w:r w:rsidR="003C5D04">
            <w:rPr>
              <w:rFonts w:ascii="Times New Roman" w:hAnsi="Times New Roman" w:cs="Times New Roman"/>
              <w:b/>
              <w:sz w:val="24"/>
              <w:szCs w:val="24"/>
            </w:rPr>
            <w:t xml:space="preserve"> BİLİMLERİ FAKÜLTESİ</w:t>
          </w:r>
          <w:r w:rsidRPr="00C85D31">
            <w:rPr>
              <w:rFonts w:ascii="Times New Roman" w:hAnsi="Times New Roman" w:cs="Times New Roman"/>
              <w:b/>
              <w:sz w:val="24"/>
              <w:szCs w:val="24"/>
            </w:rPr>
            <w:t xml:space="preserve">                                              </w:t>
          </w:r>
          <w:r w:rsidRPr="00C85D31">
            <w:rPr>
              <w:rFonts w:ascii="Times New Roman" w:eastAsia="Times New Roman" w:hAnsi="Times New Roman" w:cs="Times New Roman"/>
              <w:b/>
              <w:sz w:val="24"/>
              <w:szCs w:val="24"/>
            </w:rPr>
            <w:t>EĞİTİM VE MÜFREDAT KOMİSYONU PROSEDÜRÜ</w:t>
          </w:r>
        </w:p>
        <w:bookmarkEnd w:id="0"/>
        <w:p w14:paraId="52D404C4" w14:textId="77777777" w:rsidR="00C85D31" w:rsidRPr="00270736" w:rsidRDefault="00C85D31" w:rsidP="00C85D31">
          <w:pPr>
            <w:pStyle w:val="TableParagraph"/>
            <w:ind w:left="134" w:right="104"/>
            <w:rPr>
              <w:b/>
              <w:sz w:val="24"/>
              <w:szCs w:val="24"/>
            </w:rPr>
          </w:pPr>
        </w:p>
      </w:tc>
      <w:tc>
        <w:tcPr>
          <w:tcW w:w="2126" w:type="dxa"/>
          <w:tcBorders>
            <w:top w:val="single" w:sz="4" w:space="0" w:color="auto"/>
            <w:left w:val="single" w:sz="6" w:space="0" w:color="000000"/>
            <w:bottom w:val="single" w:sz="6" w:space="0" w:color="000000"/>
            <w:right w:val="single" w:sz="6" w:space="0" w:color="000000"/>
          </w:tcBorders>
          <w:shd w:val="clear" w:color="auto" w:fill="auto"/>
          <w:vAlign w:val="center"/>
        </w:tcPr>
        <w:p w14:paraId="2AC7C505" w14:textId="77777777" w:rsidR="00C85D31" w:rsidRPr="00270736" w:rsidRDefault="00C85D31" w:rsidP="00C85D31">
          <w:pPr>
            <w:pStyle w:val="TableParagraph"/>
            <w:spacing w:before="1" w:line="174" w:lineRule="exact"/>
            <w:ind w:left="34"/>
            <w:rPr>
              <w:sz w:val="20"/>
              <w:szCs w:val="24"/>
            </w:rPr>
          </w:pPr>
          <w:r w:rsidRPr="00270736">
            <w:rPr>
              <w:w w:val="105"/>
              <w:sz w:val="20"/>
              <w:szCs w:val="24"/>
            </w:rPr>
            <w:t>Doküman No:</w:t>
          </w:r>
        </w:p>
      </w:tc>
      <w:tc>
        <w:tcPr>
          <w:tcW w:w="1843" w:type="dxa"/>
          <w:tcBorders>
            <w:top w:val="single" w:sz="4" w:space="0" w:color="auto"/>
            <w:left w:val="single" w:sz="6" w:space="0" w:color="000000"/>
            <w:bottom w:val="single" w:sz="6" w:space="0" w:color="000000"/>
            <w:right w:val="single" w:sz="4" w:space="0" w:color="auto"/>
          </w:tcBorders>
          <w:shd w:val="clear" w:color="auto" w:fill="auto"/>
          <w:vAlign w:val="center"/>
        </w:tcPr>
        <w:p w14:paraId="4CDE2748" w14:textId="77777777" w:rsidR="00C85D31" w:rsidRPr="00270736" w:rsidRDefault="00C85D31" w:rsidP="00C85D31">
          <w:pPr>
            <w:pStyle w:val="TableParagraph"/>
            <w:spacing w:line="176" w:lineRule="exact"/>
            <w:ind w:right="446"/>
            <w:rPr>
              <w:sz w:val="20"/>
              <w:szCs w:val="24"/>
            </w:rPr>
          </w:pPr>
          <w:r w:rsidRPr="00270736">
            <w:rPr>
              <w:sz w:val="20"/>
              <w:szCs w:val="24"/>
            </w:rPr>
            <w:t xml:space="preserve"> EYS-</w:t>
          </w:r>
          <w:r>
            <w:rPr>
              <w:sz w:val="20"/>
              <w:szCs w:val="24"/>
            </w:rPr>
            <w:t>PR</w:t>
          </w:r>
          <w:r w:rsidRPr="00270736">
            <w:rPr>
              <w:sz w:val="20"/>
              <w:szCs w:val="24"/>
            </w:rPr>
            <w:t>-</w:t>
          </w:r>
          <w:r>
            <w:rPr>
              <w:sz w:val="20"/>
              <w:szCs w:val="24"/>
            </w:rPr>
            <w:t>071</w:t>
          </w:r>
        </w:p>
      </w:tc>
    </w:tr>
    <w:tr w:rsidR="00C85D31" w:rsidRPr="00270736" w14:paraId="5B7208C1" w14:textId="77777777" w:rsidTr="005D1545">
      <w:trPr>
        <w:trHeight w:val="291"/>
      </w:trPr>
      <w:tc>
        <w:tcPr>
          <w:tcW w:w="1497" w:type="dxa"/>
          <w:vMerge/>
          <w:tcBorders>
            <w:top w:val="nil"/>
            <w:left w:val="single" w:sz="4" w:space="0" w:color="auto"/>
            <w:right w:val="single" w:sz="6" w:space="0" w:color="000000"/>
          </w:tcBorders>
          <w:shd w:val="clear" w:color="auto" w:fill="auto"/>
        </w:tcPr>
        <w:p w14:paraId="6EB975B3" w14:textId="77777777" w:rsidR="00C85D31" w:rsidRPr="00270736" w:rsidRDefault="00C85D31" w:rsidP="00C85D31">
          <w:pPr>
            <w:rPr>
              <w:sz w:val="2"/>
              <w:szCs w:val="2"/>
            </w:rPr>
          </w:pPr>
        </w:p>
      </w:tc>
      <w:tc>
        <w:tcPr>
          <w:tcW w:w="4961" w:type="dxa"/>
          <w:vMerge/>
          <w:tcBorders>
            <w:top w:val="nil"/>
            <w:left w:val="single" w:sz="6" w:space="0" w:color="000000"/>
            <w:right w:val="single" w:sz="6" w:space="0" w:color="000000"/>
          </w:tcBorders>
          <w:shd w:val="clear" w:color="auto" w:fill="auto"/>
        </w:tcPr>
        <w:p w14:paraId="5BE537C2" w14:textId="77777777" w:rsidR="00C85D31" w:rsidRPr="00270736" w:rsidRDefault="00C85D31" w:rsidP="00C85D31">
          <w:pPr>
            <w:rPr>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98E9DE" w14:textId="77777777" w:rsidR="00C85D31" w:rsidRPr="00270736" w:rsidRDefault="00C85D31" w:rsidP="00C85D31">
          <w:pPr>
            <w:pStyle w:val="TableParagraph"/>
            <w:spacing w:line="176" w:lineRule="exact"/>
            <w:ind w:left="34"/>
            <w:rPr>
              <w:sz w:val="20"/>
              <w:szCs w:val="24"/>
            </w:rPr>
          </w:pPr>
          <w:r w:rsidRPr="00270736">
            <w:rPr>
              <w:w w:val="105"/>
              <w:sz w:val="20"/>
              <w:szCs w:val="24"/>
            </w:rPr>
            <w:t>Hazırlama Tarihi:</w:t>
          </w:r>
        </w:p>
      </w:tc>
      <w:tc>
        <w:tcPr>
          <w:tcW w:w="1843" w:type="dxa"/>
          <w:tcBorders>
            <w:top w:val="single" w:sz="6" w:space="0" w:color="000000"/>
            <w:left w:val="single" w:sz="6" w:space="0" w:color="000000"/>
            <w:bottom w:val="single" w:sz="6" w:space="0" w:color="000000"/>
            <w:right w:val="single" w:sz="4" w:space="0" w:color="auto"/>
          </w:tcBorders>
          <w:shd w:val="clear" w:color="auto" w:fill="auto"/>
          <w:vAlign w:val="center"/>
        </w:tcPr>
        <w:p w14:paraId="1C509BB4" w14:textId="77777777" w:rsidR="00C85D31" w:rsidRPr="00270736" w:rsidRDefault="00C85D31" w:rsidP="00C85D31">
          <w:pPr>
            <w:pStyle w:val="TableParagraph"/>
            <w:spacing w:line="176" w:lineRule="exact"/>
            <w:ind w:right="446"/>
            <w:rPr>
              <w:sz w:val="20"/>
              <w:szCs w:val="24"/>
            </w:rPr>
          </w:pPr>
          <w:r>
            <w:rPr>
              <w:sz w:val="20"/>
              <w:szCs w:val="24"/>
            </w:rPr>
            <w:t xml:space="preserve"> 27.10.2022</w:t>
          </w:r>
        </w:p>
      </w:tc>
    </w:tr>
    <w:tr w:rsidR="00C85D31" w:rsidRPr="00270736" w14:paraId="6E721D6F" w14:textId="77777777" w:rsidTr="005D1545">
      <w:trPr>
        <w:trHeight w:val="291"/>
      </w:trPr>
      <w:tc>
        <w:tcPr>
          <w:tcW w:w="1497" w:type="dxa"/>
          <w:vMerge/>
          <w:tcBorders>
            <w:top w:val="nil"/>
            <w:left w:val="single" w:sz="4" w:space="0" w:color="auto"/>
            <w:right w:val="single" w:sz="6" w:space="0" w:color="000000"/>
          </w:tcBorders>
          <w:shd w:val="clear" w:color="auto" w:fill="auto"/>
        </w:tcPr>
        <w:p w14:paraId="40C6AF14" w14:textId="77777777" w:rsidR="00C85D31" w:rsidRPr="00270736" w:rsidRDefault="00C85D31" w:rsidP="00C85D31">
          <w:pPr>
            <w:rPr>
              <w:sz w:val="2"/>
              <w:szCs w:val="2"/>
            </w:rPr>
          </w:pPr>
        </w:p>
      </w:tc>
      <w:tc>
        <w:tcPr>
          <w:tcW w:w="4961" w:type="dxa"/>
          <w:vMerge/>
          <w:tcBorders>
            <w:top w:val="nil"/>
            <w:left w:val="single" w:sz="6" w:space="0" w:color="000000"/>
            <w:right w:val="single" w:sz="6" w:space="0" w:color="000000"/>
          </w:tcBorders>
          <w:shd w:val="clear" w:color="auto" w:fill="auto"/>
        </w:tcPr>
        <w:p w14:paraId="21375960" w14:textId="77777777" w:rsidR="00C85D31" w:rsidRPr="00270736" w:rsidRDefault="00C85D31" w:rsidP="00C85D31">
          <w:pPr>
            <w:rPr>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6C79CF" w14:textId="77777777" w:rsidR="00C85D31" w:rsidRPr="00270736" w:rsidRDefault="00C85D31" w:rsidP="00C85D31">
          <w:pPr>
            <w:pStyle w:val="TableParagraph"/>
            <w:spacing w:line="176" w:lineRule="exact"/>
            <w:ind w:left="34"/>
            <w:rPr>
              <w:sz w:val="20"/>
              <w:szCs w:val="24"/>
            </w:rPr>
          </w:pPr>
          <w:r w:rsidRPr="00270736">
            <w:rPr>
              <w:w w:val="105"/>
              <w:sz w:val="20"/>
              <w:szCs w:val="24"/>
            </w:rPr>
            <w:t>Revizyon Tarihi:</w:t>
          </w:r>
        </w:p>
      </w:tc>
      <w:tc>
        <w:tcPr>
          <w:tcW w:w="1843" w:type="dxa"/>
          <w:tcBorders>
            <w:top w:val="single" w:sz="6" w:space="0" w:color="000000"/>
            <w:left w:val="single" w:sz="6" w:space="0" w:color="000000"/>
            <w:bottom w:val="single" w:sz="6" w:space="0" w:color="000000"/>
            <w:right w:val="single" w:sz="4" w:space="0" w:color="auto"/>
          </w:tcBorders>
          <w:shd w:val="clear" w:color="auto" w:fill="auto"/>
          <w:vAlign w:val="center"/>
        </w:tcPr>
        <w:p w14:paraId="5389F468" w14:textId="44A1ACF2" w:rsidR="00C85D31" w:rsidRPr="00270736" w:rsidRDefault="00CF0A1D" w:rsidP="00C85D31">
          <w:pPr>
            <w:pStyle w:val="TableParagraph"/>
            <w:spacing w:line="176" w:lineRule="exact"/>
            <w:ind w:right="444"/>
            <w:rPr>
              <w:sz w:val="20"/>
              <w:szCs w:val="24"/>
            </w:rPr>
          </w:pPr>
          <w:r>
            <w:rPr>
              <w:sz w:val="20"/>
              <w:szCs w:val="24"/>
            </w:rPr>
            <w:t>24</w:t>
          </w:r>
          <w:r w:rsidR="00AF65F3">
            <w:rPr>
              <w:sz w:val="20"/>
              <w:szCs w:val="24"/>
            </w:rPr>
            <w:t>.04.2023</w:t>
          </w:r>
        </w:p>
      </w:tc>
    </w:tr>
    <w:tr w:rsidR="00C85D31" w:rsidRPr="00270736" w14:paraId="2813703A" w14:textId="77777777" w:rsidTr="005D1545">
      <w:trPr>
        <w:trHeight w:val="291"/>
      </w:trPr>
      <w:tc>
        <w:tcPr>
          <w:tcW w:w="1497" w:type="dxa"/>
          <w:vMerge/>
          <w:tcBorders>
            <w:top w:val="nil"/>
            <w:left w:val="single" w:sz="4" w:space="0" w:color="auto"/>
            <w:right w:val="single" w:sz="6" w:space="0" w:color="000000"/>
          </w:tcBorders>
          <w:shd w:val="clear" w:color="auto" w:fill="auto"/>
        </w:tcPr>
        <w:p w14:paraId="2AE01B7E" w14:textId="77777777" w:rsidR="00C85D31" w:rsidRPr="00270736" w:rsidRDefault="00C85D31" w:rsidP="00C85D31">
          <w:pPr>
            <w:rPr>
              <w:sz w:val="2"/>
              <w:szCs w:val="2"/>
            </w:rPr>
          </w:pPr>
        </w:p>
      </w:tc>
      <w:tc>
        <w:tcPr>
          <w:tcW w:w="4961" w:type="dxa"/>
          <w:vMerge/>
          <w:tcBorders>
            <w:top w:val="nil"/>
            <w:left w:val="single" w:sz="6" w:space="0" w:color="000000"/>
            <w:right w:val="single" w:sz="6" w:space="0" w:color="000000"/>
          </w:tcBorders>
          <w:shd w:val="clear" w:color="auto" w:fill="auto"/>
        </w:tcPr>
        <w:p w14:paraId="728B8776" w14:textId="77777777" w:rsidR="00C85D31" w:rsidRPr="00270736" w:rsidRDefault="00C85D31" w:rsidP="00C85D31">
          <w:pPr>
            <w:rPr>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D8C023" w14:textId="77777777" w:rsidR="00C85D31" w:rsidRPr="00270736" w:rsidRDefault="00C85D31" w:rsidP="00C85D31">
          <w:pPr>
            <w:pStyle w:val="TableParagraph"/>
            <w:spacing w:line="176" w:lineRule="exact"/>
            <w:ind w:left="34"/>
            <w:rPr>
              <w:sz w:val="20"/>
              <w:szCs w:val="24"/>
            </w:rPr>
          </w:pPr>
          <w:r w:rsidRPr="00270736">
            <w:rPr>
              <w:w w:val="105"/>
              <w:sz w:val="20"/>
              <w:szCs w:val="24"/>
            </w:rPr>
            <w:t>Revizyon No:</w:t>
          </w:r>
        </w:p>
      </w:tc>
      <w:tc>
        <w:tcPr>
          <w:tcW w:w="1843" w:type="dxa"/>
          <w:tcBorders>
            <w:top w:val="single" w:sz="6" w:space="0" w:color="000000"/>
            <w:left w:val="single" w:sz="6" w:space="0" w:color="000000"/>
            <w:bottom w:val="single" w:sz="6" w:space="0" w:color="000000"/>
            <w:right w:val="single" w:sz="4" w:space="0" w:color="auto"/>
          </w:tcBorders>
          <w:shd w:val="clear" w:color="auto" w:fill="auto"/>
          <w:vAlign w:val="center"/>
        </w:tcPr>
        <w:p w14:paraId="2F4FEBBD" w14:textId="588A73C6" w:rsidR="00C85D31" w:rsidRPr="00270736" w:rsidRDefault="00C85D31" w:rsidP="00C85D31">
          <w:pPr>
            <w:pStyle w:val="TableParagraph"/>
            <w:spacing w:line="176" w:lineRule="exact"/>
            <w:ind w:right="444"/>
            <w:rPr>
              <w:sz w:val="20"/>
              <w:szCs w:val="24"/>
            </w:rPr>
          </w:pPr>
          <w:r w:rsidRPr="00270736">
            <w:rPr>
              <w:sz w:val="20"/>
              <w:szCs w:val="24"/>
            </w:rPr>
            <w:t xml:space="preserve"> </w:t>
          </w:r>
          <w:r w:rsidR="00CF0A1D">
            <w:rPr>
              <w:sz w:val="20"/>
              <w:szCs w:val="24"/>
            </w:rPr>
            <w:t>2</w:t>
          </w:r>
        </w:p>
      </w:tc>
    </w:tr>
    <w:tr w:rsidR="00C85D31" w:rsidRPr="00270736" w14:paraId="317EF890" w14:textId="77777777" w:rsidTr="005D1545">
      <w:trPr>
        <w:trHeight w:val="291"/>
      </w:trPr>
      <w:tc>
        <w:tcPr>
          <w:tcW w:w="1497" w:type="dxa"/>
          <w:vMerge/>
          <w:tcBorders>
            <w:top w:val="nil"/>
            <w:left w:val="single" w:sz="4" w:space="0" w:color="auto"/>
            <w:bottom w:val="single" w:sz="4" w:space="0" w:color="auto"/>
            <w:right w:val="single" w:sz="6" w:space="0" w:color="000000"/>
          </w:tcBorders>
          <w:shd w:val="clear" w:color="auto" w:fill="auto"/>
        </w:tcPr>
        <w:p w14:paraId="0CC52E40" w14:textId="77777777" w:rsidR="00C85D31" w:rsidRPr="00270736" w:rsidRDefault="00C85D31" w:rsidP="00C85D31">
          <w:pPr>
            <w:rPr>
              <w:sz w:val="2"/>
              <w:szCs w:val="2"/>
            </w:rPr>
          </w:pPr>
        </w:p>
      </w:tc>
      <w:tc>
        <w:tcPr>
          <w:tcW w:w="4961" w:type="dxa"/>
          <w:vMerge/>
          <w:tcBorders>
            <w:top w:val="nil"/>
            <w:left w:val="single" w:sz="6" w:space="0" w:color="000000"/>
            <w:bottom w:val="single" w:sz="4" w:space="0" w:color="auto"/>
            <w:right w:val="single" w:sz="6" w:space="0" w:color="000000"/>
          </w:tcBorders>
          <w:shd w:val="clear" w:color="auto" w:fill="auto"/>
        </w:tcPr>
        <w:p w14:paraId="038C042D" w14:textId="77777777" w:rsidR="00C85D31" w:rsidRPr="00270736" w:rsidRDefault="00C85D31" w:rsidP="00C85D31">
          <w:pPr>
            <w:rPr>
              <w:sz w:val="24"/>
              <w:szCs w:val="24"/>
            </w:rPr>
          </w:pPr>
        </w:p>
      </w:tc>
      <w:tc>
        <w:tcPr>
          <w:tcW w:w="2126" w:type="dxa"/>
          <w:tcBorders>
            <w:top w:val="single" w:sz="6" w:space="0" w:color="000000"/>
            <w:left w:val="single" w:sz="6" w:space="0" w:color="000000"/>
            <w:bottom w:val="single" w:sz="4" w:space="0" w:color="auto"/>
            <w:right w:val="single" w:sz="6" w:space="0" w:color="000000"/>
          </w:tcBorders>
          <w:shd w:val="clear" w:color="auto" w:fill="auto"/>
          <w:vAlign w:val="center"/>
        </w:tcPr>
        <w:p w14:paraId="2D88EB4B" w14:textId="77777777" w:rsidR="00C85D31" w:rsidRPr="00270736" w:rsidRDefault="00C85D31" w:rsidP="00C85D31">
          <w:pPr>
            <w:pStyle w:val="TableParagraph"/>
            <w:spacing w:before="22"/>
            <w:ind w:left="34"/>
            <w:rPr>
              <w:sz w:val="20"/>
              <w:szCs w:val="24"/>
            </w:rPr>
          </w:pPr>
          <w:r w:rsidRPr="00270736">
            <w:rPr>
              <w:w w:val="105"/>
              <w:sz w:val="20"/>
              <w:szCs w:val="24"/>
            </w:rPr>
            <w:t>Toplam Sayfa Sayısı</w:t>
          </w:r>
        </w:p>
      </w:tc>
      <w:tc>
        <w:tcPr>
          <w:tcW w:w="1843" w:type="dxa"/>
          <w:tcBorders>
            <w:top w:val="single" w:sz="6" w:space="0" w:color="000000"/>
            <w:left w:val="single" w:sz="6" w:space="0" w:color="000000"/>
            <w:bottom w:val="single" w:sz="4" w:space="0" w:color="auto"/>
            <w:right w:val="single" w:sz="4" w:space="0" w:color="auto"/>
          </w:tcBorders>
          <w:shd w:val="clear" w:color="auto" w:fill="auto"/>
          <w:vAlign w:val="center"/>
        </w:tcPr>
        <w:p w14:paraId="78B777E1" w14:textId="77777777" w:rsidR="00C85D31" w:rsidRPr="00270736" w:rsidRDefault="00C85D31" w:rsidP="00C85D31">
          <w:pPr>
            <w:pStyle w:val="TableParagraph"/>
            <w:spacing w:line="192" w:lineRule="exact"/>
            <w:ind w:right="444"/>
            <w:rPr>
              <w:sz w:val="20"/>
              <w:szCs w:val="24"/>
            </w:rPr>
          </w:pPr>
          <w:r w:rsidRPr="00270736">
            <w:rPr>
              <w:sz w:val="20"/>
              <w:szCs w:val="24"/>
            </w:rPr>
            <w:t xml:space="preserve"> </w:t>
          </w:r>
          <w:r>
            <w:rPr>
              <w:sz w:val="20"/>
              <w:szCs w:val="24"/>
            </w:rPr>
            <w:t>4</w:t>
          </w:r>
        </w:p>
      </w:tc>
    </w:tr>
  </w:tbl>
  <w:p w14:paraId="3C553774" w14:textId="77777777" w:rsidR="00C85D31" w:rsidRDefault="00C85D3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23386"/>
    <w:multiLevelType w:val="multilevel"/>
    <w:tmpl w:val="C5666D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1D237B1"/>
    <w:multiLevelType w:val="multilevel"/>
    <w:tmpl w:val="7F8491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8F45B1D"/>
    <w:multiLevelType w:val="multilevel"/>
    <w:tmpl w:val="3C026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7062A00"/>
    <w:multiLevelType w:val="multilevel"/>
    <w:tmpl w:val="EC3AEB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A6B397E"/>
    <w:multiLevelType w:val="multilevel"/>
    <w:tmpl w:val="C0D441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3457616">
    <w:abstractNumId w:val="1"/>
  </w:num>
  <w:num w:numId="2" w16cid:durableId="1739523068">
    <w:abstractNumId w:val="2"/>
  </w:num>
  <w:num w:numId="3" w16cid:durableId="1963072971">
    <w:abstractNumId w:val="3"/>
  </w:num>
  <w:num w:numId="4" w16cid:durableId="532570595">
    <w:abstractNumId w:val="4"/>
  </w:num>
  <w:num w:numId="5" w16cid:durableId="8985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04"/>
    <w:rsid w:val="00065018"/>
    <w:rsid w:val="00131BB4"/>
    <w:rsid w:val="00135FB3"/>
    <w:rsid w:val="00146DBF"/>
    <w:rsid w:val="00165232"/>
    <w:rsid w:val="00167DCE"/>
    <w:rsid w:val="00175EC8"/>
    <w:rsid w:val="00176E4D"/>
    <w:rsid w:val="003C5D04"/>
    <w:rsid w:val="004451B9"/>
    <w:rsid w:val="004E0502"/>
    <w:rsid w:val="005A74CD"/>
    <w:rsid w:val="005F6957"/>
    <w:rsid w:val="006E2525"/>
    <w:rsid w:val="006E77AB"/>
    <w:rsid w:val="007E038F"/>
    <w:rsid w:val="00813F04"/>
    <w:rsid w:val="00851DBF"/>
    <w:rsid w:val="009100E5"/>
    <w:rsid w:val="009446F5"/>
    <w:rsid w:val="0095180E"/>
    <w:rsid w:val="009D0E67"/>
    <w:rsid w:val="00A80AA7"/>
    <w:rsid w:val="00A860F5"/>
    <w:rsid w:val="00AF65F3"/>
    <w:rsid w:val="00BE48F5"/>
    <w:rsid w:val="00C85D31"/>
    <w:rsid w:val="00CF0A1D"/>
    <w:rsid w:val="00DD40D2"/>
    <w:rsid w:val="00DE2925"/>
    <w:rsid w:val="00E11F87"/>
    <w:rsid w:val="00E8063F"/>
    <w:rsid w:val="00E91F97"/>
    <w:rsid w:val="00EF621D"/>
    <w:rsid w:val="00F2401B"/>
    <w:rsid w:val="00FC72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225F"/>
  <w15:docId w15:val="{26BD0EE0-6CD5-4064-A3E0-00BAAA40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C85D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5D31"/>
  </w:style>
  <w:style w:type="paragraph" w:styleId="AltBilgi">
    <w:name w:val="footer"/>
    <w:basedOn w:val="Normal"/>
    <w:link w:val="AltBilgiChar"/>
    <w:uiPriority w:val="99"/>
    <w:unhideWhenUsed/>
    <w:rsid w:val="00C85D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5D31"/>
  </w:style>
  <w:style w:type="paragraph" w:customStyle="1" w:styleId="TableParagraph">
    <w:name w:val="Table Paragraph"/>
    <w:basedOn w:val="Normal"/>
    <w:uiPriority w:val="1"/>
    <w:qFormat/>
    <w:rsid w:val="00C85D31"/>
    <w:pPr>
      <w:widowControl w:val="0"/>
      <w:autoSpaceDE w:val="0"/>
      <w:autoSpaceDN w:val="0"/>
      <w:spacing w:after="0" w:line="240" w:lineRule="auto"/>
    </w:pPr>
    <w:rPr>
      <w:rFonts w:ascii="Times New Roman" w:eastAsia="Times New Roman" w:hAnsi="Times New Roman" w:cs="Times New Roman"/>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4PGlZTbLn/sC/CYkxkPoWOQrkQ==">AMUW2mVOnJL5hwVLgv9l/12QvV4mQZPjRVZtYuDKkSvuoLiIn1rl/OZcEITTOPMaq3xrRPfNmZFDCxWZDIvk+bWDTY4mM/AfE5LY2K0aZKQwuHLizPiuke8=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 önler</dc:creator>
  <cp:lastModifiedBy>Windows Kullanıcısı</cp:lastModifiedBy>
  <cp:revision>2</cp:revision>
  <dcterms:created xsi:type="dcterms:W3CDTF">2023-04-24T12:13:00Z</dcterms:created>
  <dcterms:modified xsi:type="dcterms:W3CDTF">2023-04-24T12:13:00Z</dcterms:modified>
</cp:coreProperties>
</file>