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8A2867" w:rsidRDefault="001E004E" w:rsidP="00750611">
      <w:pPr>
        <w:spacing w:line="360" w:lineRule="auto"/>
        <w:rPr>
          <w:sz w:val="22"/>
          <w:szCs w:val="22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8A2867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8A286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8A2867">
              <w:rPr>
                <w:b/>
                <w:sz w:val="22"/>
                <w:szCs w:val="22"/>
              </w:rPr>
              <w:t xml:space="preserve">Standart 2: </w:t>
            </w:r>
            <w:r w:rsidRPr="008A2867">
              <w:rPr>
                <w:sz w:val="22"/>
                <w:szCs w:val="22"/>
              </w:rPr>
              <w:t>Misyon, Organizasyon Yapısı ve Görevler</w:t>
            </w:r>
            <w:r w:rsidRPr="008A2867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8A2867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8A2867">
              <w:rPr>
                <w:b/>
                <w:sz w:val="22"/>
                <w:szCs w:val="22"/>
              </w:rPr>
              <w:t xml:space="preserve">2.2. </w:t>
            </w:r>
            <w:r w:rsidRPr="008A2867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8A2867">
              <w:rPr>
                <w:sz w:val="22"/>
                <w:szCs w:val="22"/>
              </w:rPr>
              <w:t>D</w:t>
            </w:r>
            <w:r w:rsidRPr="008A2867">
              <w:rPr>
                <w:sz w:val="22"/>
                <w:szCs w:val="22"/>
              </w:rPr>
              <w:t>uyurulmalıdır.</w:t>
            </w:r>
          </w:p>
        </w:tc>
      </w:tr>
      <w:tr w:rsidR="00881B5C" w:rsidRPr="008A2867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8A2867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8A2867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39216510" w:rsidR="00412572" w:rsidRPr="008A2867" w:rsidRDefault="005C7081" w:rsidP="005C7081">
            <w:pPr>
              <w:rPr>
                <w:sz w:val="22"/>
                <w:szCs w:val="22"/>
              </w:rPr>
            </w:pPr>
            <w:r w:rsidRPr="008A2867">
              <w:rPr>
                <w:sz w:val="22"/>
                <w:szCs w:val="22"/>
              </w:rPr>
              <w:t>Merkez Müdürü</w:t>
            </w:r>
          </w:p>
        </w:tc>
      </w:tr>
      <w:tr w:rsidR="00881B5C" w:rsidRPr="008A2867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8A2867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8A2867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295F1207" w:rsidR="00881B5C" w:rsidRPr="008A2867" w:rsidRDefault="00CB1786" w:rsidP="00881B5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30D08" w:rsidRPr="008A2867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8A2867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8A2867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8A2867" w:rsidRDefault="001165A4">
            <w:pPr>
              <w:rPr>
                <w:sz w:val="22"/>
                <w:szCs w:val="22"/>
                <w:highlight w:val="yellow"/>
              </w:rPr>
            </w:pPr>
            <w:r w:rsidRPr="008A2867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8A2867" w:rsidRDefault="007106C8" w:rsidP="00750611">
      <w:pPr>
        <w:spacing w:line="360" w:lineRule="auto"/>
        <w:rPr>
          <w:sz w:val="22"/>
          <w:szCs w:val="22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8A2867" w14:paraId="4B7214EE" w14:textId="77777777" w:rsidTr="00953D96">
        <w:trPr>
          <w:trHeight w:val="5823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8A2867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8A2867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22B680FA" w14:textId="77777777" w:rsidR="008A2867" w:rsidRPr="008A2867" w:rsidRDefault="008A2867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4DB20183" w14:textId="0DF36154" w:rsidR="002E749F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etmek</w:t>
            </w:r>
            <w:r w:rsidR="008A2867" w:rsidRPr="008A2867">
              <w:rPr>
                <w:rFonts w:ascii="Times New Roman" w:hAnsi="Times New Roman" w:cs="Times New Roman"/>
              </w:rPr>
              <w:t>,</w:t>
            </w:r>
          </w:p>
          <w:p w14:paraId="38AA9051" w14:textId="3AC87B17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Hayvan Hastanesinin verimli şekilde çalışmasını sağlamak üzere gerekli ihtiyaçları zamanında tespit etmek, bunların temin yollarını araştırmak ve gerekli koordinasyonu sağlayarak tedbir almak, hizmet içi eğitim programlarının hazırlanmasını ve uygulanmasını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026F427B" w14:textId="698B5D67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 xml:space="preserve"> Yönetim Kurulu toplantılarında </w:t>
            </w:r>
            <w:r w:rsidRPr="008A2867">
              <w:rPr>
                <w:rStyle w:val="grame"/>
                <w:rFonts w:ascii="Times New Roman" w:hAnsi="Times New Roman" w:cs="Times New Roman"/>
                <w:color w:val="000000"/>
              </w:rPr>
              <w:t>raportörlük</w:t>
            </w:r>
            <w:r w:rsidRPr="008A2867">
              <w:rPr>
                <w:rFonts w:ascii="Times New Roman" w:hAnsi="Times New Roman" w:cs="Times New Roman"/>
                <w:color w:val="000000"/>
              </w:rPr>
              <w:t> yapmak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B9B9A9A" w14:textId="77777777" w:rsidR="008A2867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Style w:val="grame"/>
                <w:rFonts w:ascii="Times New Roman" w:hAnsi="Times New Roman" w:cs="Times New Roman"/>
                <w:color w:val="000000"/>
              </w:rPr>
              <w:t>4/1/2002</w:t>
            </w:r>
            <w:r w:rsidRPr="008A2867">
              <w:rPr>
                <w:rFonts w:ascii="Times New Roman" w:hAnsi="Times New Roman" w:cs="Times New Roman"/>
                <w:color w:val="000000"/>
              </w:rPr>
              <w:t> tarihli ve 4734 sayılı Kamu İhale Kanunu hükümleri uyarınca verilen görevleri yapmak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D63DB03" w14:textId="3E4CEA53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Hayvan Hastanesinde mevzuatın uygulanmasını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AD5D7BA" w14:textId="670DAA58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 xml:space="preserve"> Hastanenin verimli şekilde çalışmasını sağlamak üzere gerekli insan kaynakları konusunda ihtiyaçları tespit etmek, bunların temin yollarını araştırmak ve gerekli koordinasyonu sağlayarak tedbirler almak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8C1D8E7" w14:textId="23F0401A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 xml:space="preserve"> Çalışan personelin yıllık izinlerini düzenlemek, personelin özlük haklarının, mesaiye devamlarının takibini yapmak, istatistikî bilgileri ve çalışma cetvellerini hazırlamak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FAB0A0F" w14:textId="262F29C8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Yazışmaların usulüne uygun olarak yapılmasını, kayıtların ve dosyaların usulüne uygun tutulmasını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FADA9C0" w14:textId="1A7230FE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Personel ile toplantılar düzenleyerek ilgili oldukları hizmetlerde koordinasyonu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45635D1" w14:textId="07A5193A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 xml:space="preserve"> Personelin görev esnasında kıyafet ve davranışlarının mevzuat ve emirlere uygunluğunu sağlamak ve denetlemek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A5B7190" w14:textId="5A21C420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Acil sebeplerle görevine gelemeyen personelin işini yürütmek üzere gerekli tedbirleri almak ve yerine başka personel görevlendirerek iş bölümü yapmak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1206499" w14:textId="31A9B702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Depolama, ambar ve depodan çıkış hizmetlerini yakından izlemek ve mevzuata uygun olarak yapılmasını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32C01FC5" w14:textId="66B7E6D6" w:rsidR="00413B5C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Hayvan Hastanesinin bütçe ile ilgili iş ve işlemlerinde Müdür (Başhekim)’e yardımcı olmak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2B55662" w14:textId="77777777" w:rsidR="008A2867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Hayvan Hastanesinin çeşitli birimlerinde bulunan cihaz, malzeme ve bina onarımı gibi işlerin ilgililerce zamanında yapılmasını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237ACB7" w14:textId="77777777" w:rsidR="008A2867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lastRenderedPageBreak/>
              <w:t>Hayvan Hastanesinde mevzuat hükümlerine göre gerekli emniyet tedbirlerinin alınmasını sağlamak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7DE6033" w14:textId="77777777" w:rsidR="008A2867" w:rsidRPr="008A2867" w:rsidRDefault="00413B5C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  <w:color w:val="000000"/>
              </w:rPr>
              <w:t>Müdür (Başhekim)’ün verdiği diğer görevleri yapmak</w:t>
            </w:r>
            <w:r w:rsidR="008A2867" w:rsidRPr="008A2867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E3AD26B" w14:textId="77777777" w:rsidR="008A2867" w:rsidRPr="008A2867" w:rsidRDefault="00B96DD5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</w:p>
          <w:p w14:paraId="174462C0" w14:textId="77777777" w:rsidR="008A2867" w:rsidRPr="008A2867" w:rsidRDefault="00B96DD5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</w:t>
            </w:r>
            <w:r w:rsidR="008A2867" w:rsidRPr="008A2867">
              <w:rPr>
                <w:rFonts w:ascii="Times New Roman" w:hAnsi="Times New Roman" w:cs="Times New Roman"/>
              </w:rPr>
              <w:t>,</w:t>
            </w:r>
          </w:p>
          <w:p w14:paraId="22206171" w14:textId="77777777" w:rsidR="008A2867" w:rsidRPr="008A2867" w:rsidRDefault="00B96DD5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ADB223A" w14:textId="77777777" w:rsidR="008A2867" w:rsidRPr="008A2867" w:rsidRDefault="00B96DD5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50FFD4AC" w14:textId="77777777" w:rsidR="008A2867" w:rsidRPr="008A2867" w:rsidRDefault="007A2AFD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8A2867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</w:p>
          <w:p w14:paraId="716150E8" w14:textId="77777777" w:rsidR="008A2867" w:rsidRPr="008A2867" w:rsidRDefault="003F3D89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E9311A" w:rsidRPr="008A2867">
              <w:rPr>
                <w:rFonts w:ascii="Times New Roman" w:hAnsi="Times New Roman" w:cs="Times New Roman"/>
              </w:rPr>
              <w:t>Merkez Müdürü</w:t>
            </w:r>
            <w:r w:rsidRPr="008A2867">
              <w:rPr>
                <w:rFonts w:ascii="Times New Roman" w:hAnsi="Times New Roman" w:cs="Times New Roman"/>
              </w:rPr>
              <w:t xml:space="preserve"> tarafından kendisine verilen diğer görevleri yapmak, </w:t>
            </w:r>
          </w:p>
          <w:p w14:paraId="79D3BFCD" w14:textId="6ACDAA66" w:rsidR="00A67646" w:rsidRPr="008A2867" w:rsidRDefault="00E9311A" w:rsidP="008A2867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r w:rsidRPr="008A2867">
              <w:rPr>
                <w:rFonts w:ascii="Times New Roman" w:hAnsi="Times New Roman" w:cs="Times New Roman"/>
              </w:rPr>
              <w:t>Ha</w:t>
            </w:r>
            <w:r w:rsidR="008A2867" w:rsidRPr="008A2867">
              <w:rPr>
                <w:rFonts w:ascii="Times New Roman" w:hAnsi="Times New Roman" w:cs="Times New Roman"/>
              </w:rPr>
              <w:t xml:space="preserve">yvan Hastanesi </w:t>
            </w:r>
            <w:r w:rsidR="003F3D89" w:rsidRPr="008A2867">
              <w:rPr>
                <w:rFonts w:ascii="Times New Roman" w:hAnsi="Times New Roman" w:cs="Times New Roman"/>
              </w:rPr>
              <w:t xml:space="preserve">Müdürü yukarıda yazılı olan bütün bu görevleri kanunlara ve yönetmeliklere uygun olarak yerine getirirken </w:t>
            </w:r>
            <w:r w:rsidRPr="008A2867">
              <w:rPr>
                <w:rFonts w:ascii="Times New Roman" w:hAnsi="Times New Roman" w:cs="Times New Roman"/>
              </w:rPr>
              <w:t>Merkez Müdürüne</w:t>
            </w:r>
            <w:r w:rsidR="003F3D89" w:rsidRPr="008A2867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8A2867" w14:paraId="0BB2D1FF" w14:textId="77777777" w:rsidTr="008A2867">
        <w:trPr>
          <w:trHeight w:val="758"/>
        </w:trPr>
        <w:tc>
          <w:tcPr>
            <w:tcW w:w="2405" w:type="dxa"/>
          </w:tcPr>
          <w:p w14:paraId="037D32E4" w14:textId="749A3FB8" w:rsidR="006B418A" w:rsidRPr="008A286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8A2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525AF355" w:rsidR="006B418A" w:rsidRPr="008A2867" w:rsidRDefault="00067E5F" w:rsidP="00881A7D">
            <w:pPr>
              <w:jc w:val="both"/>
              <w:rPr>
                <w:sz w:val="22"/>
                <w:szCs w:val="22"/>
              </w:rPr>
            </w:pPr>
            <w:r w:rsidRPr="008A2867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8A2867">
              <w:rPr>
                <w:sz w:val="22"/>
                <w:szCs w:val="22"/>
              </w:rPr>
              <w:t>birimlere/</w:t>
            </w:r>
            <w:r w:rsidRPr="008A2867">
              <w:rPr>
                <w:sz w:val="22"/>
                <w:szCs w:val="22"/>
              </w:rPr>
              <w:t>kurumlara</w:t>
            </w:r>
            <w:r w:rsidR="009B0632" w:rsidRPr="008A2867">
              <w:rPr>
                <w:sz w:val="22"/>
                <w:szCs w:val="22"/>
              </w:rPr>
              <w:t>, kamuoyuna</w:t>
            </w:r>
            <w:r w:rsidRPr="008A2867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</w:p>
        </w:tc>
      </w:tr>
      <w:tr w:rsidR="006B418A" w:rsidRPr="008A2867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8A2867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8A2867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8A286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8A286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8A286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8A286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8A286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8A286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8A286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715C7237" w:rsidR="00940000" w:rsidRPr="008A2867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</w:pPr>
            <w:r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Merkez Müdürü, ilgili </w:t>
            </w:r>
            <w:r w:rsidR="008B71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iç ve </w:t>
            </w:r>
            <w:r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paydaşlar.</w:t>
            </w:r>
          </w:p>
          <w:p w14:paraId="74B06DC0" w14:textId="47EBFBDD" w:rsidR="00E9073C" w:rsidRPr="008A2867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8A2867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8A2867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8A286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28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72686CFB" w:rsidR="006B418A" w:rsidRPr="008A2867" w:rsidRDefault="002B3B8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Rektör, Rektör Yardımcıları, </w:t>
            </w:r>
            <w:r w:rsidR="00940000"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</w:t>
            </w:r>
            <w:r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ve </w:t>
            </w:r>
            <w:r w:rsidR="00940000"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ilgili</w:t>
            </w:r>
            <w:r w:rsidR="004C5A7A"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iç</w:t>
            </w:r>
            <w:r w:rsidR="00940000"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 </w:t>
            </w:r>
            <w:r w:rsidR="008B718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 xml:space="preserve">ve </w:t>
            </w:r>
            <w:r w:rsidR="00940000" w:rsidRPr="008A286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dış paydaşlar.</w:t>
            </w:r>
          </w:p>
        </w:tc>
      </w:tr>
      <w:tr w:rsidR="006B418A" w:rsidRPr="008A2867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8A286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2867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</w:tcPr>
          <w:p w14:paraId="09695773" w14:textId="77777777" w:rsidR="006B418A" w:rsidRPr="008A2867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</w:p>
          <w:p w14:paraId="6CF07C27" w14:textId="62E3E873" w:rsidR="006B418A" w:rsidRPr="008A2867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toplantı</w:t>
            </w:r>
            <w:proofErr w:type="gramEnd"/>
            <w:r w:rsidRPr="008A28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A2AFD" w:rsidRPr="008A2867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8A28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8A2867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8A2867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5C597BE3" w:rsidR="006B418A" w:rsidRPr="008A2867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044BBA" w:rsidRPr="008A286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8A2867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8A2867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8A2867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A2867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Default="007106C8" w:rsidP="00750611">
      <w:pPr>
        <w:spacing w:line="360" w:lineRule="auto"/>
        <w:rPr>
          <w:sz w:val="22"/>
          <w:szCs w:val="22"/>
        </w:rPr>
      </w:pPr>
    </w:p>
    <w:p w14:paraId="333E2622" w14:textId="77777777" w:rsidR="00022F0A" w:rsidRDefault="00022F0A" w:rsidP="00750611">
      <w:pPr>
        <w:spacing w:line="360" w:lineRule="auto"/>
        <w:rPr>
          <w:sz w:val="22"/>
          <w:szCs w:val="22"/>
        </w:rPr>
      </w:pPr>
    </w:p>
    <w:sectPr w:rsidR="00022F0A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08F8" w14:textId="77777777" w:rsidR="00A642DF" w:rsidRDefault="00A642DF">
      <w:r>
        <w:separator/>
      </w:r>
    </w:p>
  </w:endnote>
  <w:endnote w:type="continuationSeparator" w:id="0">
    <w:p w14:paraId="08384F18" w14:textId="77777777" w:rsidR="00A642DF" w:rsidRDefault="00A64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5291F" w14:textId="77777777" w:rsidR="00015C71" w:rsidRDefault="00015C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41BDCB79" w14:textId="3429C243" w:rsidR="001E004E" w:rsidRDefault="00022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  <w:p w14:paraId="760C142A" w14:textId="4DC7E29D" w:rsidR="00F10AA1" w:rsidRDefault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</w:p>
      </w:tc>
      <w:tc>
        <w:tcPr>
          <w:tcW w:w="4820" w:type="dxa"/>
          <w:vAlign w:val="center"/>
        </w:tcPr>
        <w:p w14:paraId="046668B0" w14:textId="77DA54E3" w:rsidR="00F10AA1" w:rsidRPr="007B0744" w:rsidRDefault="00022F0A" w:rsidP="00F10AA1">
          <w:pPr>
            <w:jc w:val="center"/>
            <w:rPr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 Başkanlığı</w:t>
          </w:r>
        </w:p>
        <w:p w14:paraId="486E8AD0" w14:textId="084D8C43" w:rsidR="00F10AA1" w:rsidRDefault="00F10AA1" w:rsidP="00F10AA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E0EC9" w14:textId="77777777" w:rsidR="00015C71" w:rsidRDefault="00015C7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8BE70" w14:textId="77777777" w:rsidR="00A642DF" w:rsidRDefault="00A642DF">
      <w:r>
        <w:separator/>
      </w:r>
    </w:p>
  </w:footnote>
  <w:footnote w:type="continuationSeparator" w:id="0">
    <w:p w14:paraId="1E3FE0D1" w14:textId="77777777" w:rsidR="00A642DF" w:rsidRDefault="00A64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5B4602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5B4602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5B4602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5B4602" w:rsidRDefault="007106C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5B4602" w:rsidRDefault="00BD2A28" w:rsidP="007106C8">
          <w:pPr>
            <w:jc w:val="center"/>
            <w:rPr>
              <w:b/>
              <w:sz w:val="32"/>
              <w:szCs w:val="32"/>
            </w:rPr>
          </w:pPr>
          <w:r w:rsidRPr="005B4602">
            <w:rPr>
              <w:b/>
              <w:sz w:val="32"/>
              <w:szCs w:val="32"/>
            </w:rPr>
            <w:t xml:space="preserve">TEKİRDAĞ </w:t>
          </w:r>
          <w:r w:rsidR="007106C8" w:rsidRPr="005B4602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5B4602" w:rsidRDefault="007106C8" w:rsidP="007106C8">
          <w:pPr>
            <w:jc w:val="center"/>
            <w:rPr>
              <w:b/>
              <w:sz w:val="28"/>
              <w:szCs w:val="28"/>
            </w:rPr>
          </w:pPr>
          <w:r w:rsidRPr="005B4602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5B4602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BF6E6E3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PAGE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  <w:r w:rsidRPr="005B4602">
            <w:rPr>
              <w:rFonts w:eastAsia="Calibri"/>
            </w:rPr>
            <w:t xml:space="preserve"> / </w:t>
          </w:r>
          <w:r w:rsidRPr="005B4602">
            <w:rPr>
              <w:rFonts w:eastAsia="Calibri"/>
            </w:rPr>
            <w:fldChar w:fldCharType="begin"/>
          </w:r>
          <w:r w:rsidRPr="005B4602">
            <w:rPr>
              <w:rFonts w:eastAsia="Calibri"/>
            </w:rPr>
            <w:instrText>NUMPAGES</w:instrText>
          </w:r>
          <w:r w:rsidRPr="005B4602">
            <w:rPr>
              <w:rFonts w:eastAsia="Calibri"/>
            </w:rPr>
            <w:fldChar w:fldCharType="separate"/>
          </w:r>
          <w:r w:rsidR="00074CEF">
            <w:rPr>
              <w:rFonts w:eastAsia="Calibri"/>
              <w:noProof/>
            </w:rPr>
            <w:t>2</w:t>
          </w:r>
          <w:r w:rsidRPr="005B4602">
            <w:rPr>
              <w:rFonts w:eastAsia="Calibri"/>
            </w:rPr>
            <w:fldChar w:fldCharType="end"/>
          </w:r>
        </w:p>
      </w:tc>
    </w:tr>
    <w:tr w:rsidR="007106C8" w:rsidRPr="005B4602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61CF256" w:rsidR="007106C8" w:rsidRPr="005B4602" w:rsidRDefault="00BA6FCE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EYS-GT-</w:t>
          </w:r>
          <w:r w:rsidR="00015C71">
            <w:rPr>
              <w:rFonts w:eastAsia="Calibri"/>
            </w:rPr>
            <w:t>446</w:t>
          </w:r>
        </w:p>
      </w:tc>
    </w:tr>
    <w:tr w:rsidR="007106C8" w:rsidRPr="005B4602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319E474" w:rsidR="007106C8" w:rsidRPr="005B4602" w:rsidRDefault="00015C71" w:rsidP="00953D96">
          <w:pPr>
            <w:rPr>
              <w:rFonts w:eastAsia="Calibri"/>
            </w:rPr>
          </w:pPr>
          <w:r>
            <w:rPr>
              <w:rFonts w:eastAsia="Calibri"/>
            </w:rPr>
            <w:t>29.12.2023</w:t>
          </w:r>
        </w:p>
      </w:tc>
    </w:tr>
    <w:tr w:rsidR="007106C8" w:rsidRPr="005B4602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00</w:t>
          </w:r>
        </w:p>
      </w:tc>
    </w:tr>
    <w:tr w:rsidR="007106C8" w:rsidRPr="005B4602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5B4602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5B4602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5B4602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5B4602" w:rsidRDefault="007106C8" w:rsidP="007106C8">
          <w:pPr>
            <w:jc w:val="center"/>
            <w:rPr>
              <w:rFonts w:eastAsia="Calibri"/>
            </w:rPr>
          </w:pPr>
          <w:r w:rsidRPr="005B4602">
            <w:rPr>
              <w:rFonts w:eastAsia="Calibri"/>
            </w:rPr>
            <w:t>-</w:t>
          </w:r>
        </w:p>
      </w:tc>
    </w:tr>
    <w:tr w:rsidR="000D6934" w:rsidRPr="005B4602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10509941" w:rsidR="00FE5129" w:rsidRPr="005B4602" w:rsidRDefault="00421E11" w:rsidP="00421E11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VETERİNER SAĞLIK UYGULAMA VE ARAŞTIRMA MERKEZİ </w:t>
          </w:r>
        </w:p>
        <w:p w14:paraId="73CC6102" w14:textId="5243F781" w:rsidR="00B96DD5" w:rsidRPr="005B4602" w:rsidRDefault="008A2867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HAYVAN HASTANESİ </w:t>
          </w:r>
          <w:r w:rsidR="002E749F">
            <w:rPr>
              <w:rFonts w:ascii="Times New Roman" w:hAnsi="Times New Roman" w:cs="Times New Roman"/>
              <w:b/>
              <w:sz w:val="28"/>
              <w:szCs w:val="28"/>
            </w:rPr>
            <w:t>MÜDÜRÜ</w:t>
          </w:r>
        </w:p>
        <w:p w14:paraId="52A77080" w14:textId="66098425" w:rsidR="000D6934" w:rsidRPr="005B4602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B4602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358F0" w14:textId="77777777" w:rsidR="00015C71" w:rsidRDefault="00015C7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852" w:hanging="360"/>
      </w:pPr>
    </w:lvl>
    <w:lvl w:ilvl="1" w:tplc="041F0019" w:tentative="1">
      <w:start w:val="1"/>
      <w:numFmt w:val="lowerLetter"/>
      <w:lvlText w:val="%2."/>
      <w:lvlJc w:val="left"/>
      <w:pPr>
        <w:ind w:left="1572" w:hanging="360"/>
      </w:pPr>
    </w:lvl>
    <w:lvl w:ilvl="2" w:tplc="041F001B" w:tentative="1">
      <w:start w:val="1"/>
      <w:numFmt w:val="lowerRoman"/>
      <w:lvlText w:val="%3."/>
      <w:lvlJc w:val="right"/>
      <w:pPr>
        <w:ind w:left="2292" w:hanging="180"/>
      </w:pPr>
    </w:lvl>
    <w:lvl w:ilvl="3" w:tplc="041F000F" w:tentative="1">
      <w:start w:val="1"/>
      <w:numFmt w:val="decimal"/>
      <w:lvlText w:val="%4."/>
      <w:lvlJc w:val="left"/>
      <w:pPr>
        <w:ind w:left="3012" w:hanging="360"/>
      </w:pPr>
    </w:lvl>
    <w:lvl w:ilvl="4" w:tplc="041F0019" w:tentative="1">
      <w:start w:val="1"/>
      <w:numFmt w:val="lowerLetter"/>
      <w:lvlText w:val="%5."/>
      <w:lvlJc w:val="left"/>
      <w:pPr>
        <w:ind w:left="3732" w:hanging="360"/>
      </w:pPr>
    </w:lvl>
    <w:lvl w:ilvl="5" w:tplc="041F001B" w:tentative="1">
      <w:start w:val="1"/>
      <w:numFmt w:val="lowerRoman"/>
      <w:lvlText w:val="%6."/>
      <w:lvlJc w:val="right"/>
      <w:pPr>
        <w:ind w:left="4452" w:hanging="180"/>
      </w:pPr>
    </w:lvl>
    <w:lvl w:ilvl="6" w:tplc="041F000F" w:tentative="1">
      <w:start w:val="1"/>
      <w:numFmt w:val="decimal"/>
      <w:lvlText w:val="%7."/>
      <w:lvlJc w:val="left"/>
      <w:pPr>
        <w:ind w:left="5172" w:hanging="360"/>
      </w:pPr>
    </w:lvl>
    <w:lvl w:ilvl="7" w:tplc="041F0019" w:tentative="1">
      <w:start w:val="1"/>
      <w:numFmt w:val="lowerLetter"/>
      <w:lvlText w:val="%8."/>
      <w:lvlJc w:val="left"/>
      <w:pPr>
        <w:ind w:left="5892" w:hanging="360"/>
      </w:pPr>
    </w:lvl>
    <w:lvl w:ilvl="8" w:tplc="041F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F6286"/>
    <w:multiLevelType w:val="hybridMultilevel"/>
    <w:tmpl w:val="358241E4"/>
    <w:lvl w:ilvl="0" w:tplc="7F4ADBB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46E3B"/>
    <w:multiLevelType w:val="hybridMultilevel"/>
    <w:tmpl w:val="198EE3F2"/>
    <w:lvl w:ilvl="0" w:tplc="30581A4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35" w:hanging="360"/>
      </w:pPr>
    </w:lvl>
    <w:lvl w:ilvl="2" w:tplc="041F001B" w:tentative="1">
      <w:start w:val="1"/>
      <w:numFmt w:val="lowerRoman"/>
      <w:lvlText w:val="%3."/>
      <w:lvlJc w:val="right"/>
      <w:pPr>
        <w:ind w:left="2355" w:hanging="180"/>
      </w:pPr>
    </w:lvl>
    <w:lvl w:ilvl="3" w:tplc="041F000F" w:tentative="1">
      <w:start w:val="1"/>
      <w:numFmt w:val="decimal"/>
      <w:lvlText w:val="%4."/>
      <w:lvlJc w:val="left"/>
      <w:pPr>
        <w:ind w:left="3075" w:hanging="360"/>
      </w:pPr>
    </w:lvl>
    <w:lvl w:ilvl="4" w:tplc="041F0019" w:tentative="1">
      <w:start w:val="1"/>
      <w:numFmt w:val="lowerLetter"/>
      <w:lvlText w:val="%5."/>
      <w:lvlJc w:val="left"/>
      <w:pPr>
        <w:ind w:left="3795" w:hanging="360"/>
      </w:pPr>
    </w:lvl>
    <w:lvl w:ilvl="5" w:tplc="041F001B" w:tentative="1">
      <w:start w:val="1"/>
      <w:numFmt w:val="lowerRoman"/>
      <w:lvlText w:val="%6."/>
      <w:lvlJc w:val="right"/>
      <w:pPr>
        <w:ind w:left="4515" w:hanging="180"/>
      </w:pPr>
    </w:lvl>
    <w:lvl w:ilvl="6" w:tplc="041F000F" w:tentative="1">
      <w:start w:val="1"/>
      <w:numFmt w:val="decimal"/>
      <w:lvlText w:val="%7."/>
      <w:lvlJc w:val="left"/>
      <w:pPr>
        <w:ind w:left="5235" w:hanging="360"/>
      </w:pPr>
    </w:lvl>
    <w:lvl w:ilvl="7" w:tplc="041F0019" w:tentative="1">
      <w:start w:val="1"/>
      <w:numFmt w:val="lowerLetter"/>
      <w:lvlText w:val="%8."/>
      <w:lvlJc w:val="left"/>
      <w:pPr>
        <w:ind w:left="5955" w:hanging="360"/>
      </w:pPr>
    </w:lvl>
    <w:lvl w:ilvl="8" w:tplc="041F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87509679">
    <w:abstractNumId w:val="4"/>
  </w:num>
  <w:num w:numId="2" w16cid:durableId="898906520">
    <w:abstractNumId w:val="2"/>
  </w:num>
  <w:num w:numId="3" w16cid:durableId="774788427">
    <w:abstractNumId w:val="6"/>
  </w:num>
  <w:num w:numId="4" w16cid:durableId="355624233">
    <w:abstractNumId w:val="5"/>
  </w:num>
  <w:num w:numId="5" w16cid:durableId="929047571">
    <w:abstractNumId w:val="0"/>
  </w:num>
  <w:num w:numId="6" w16cid:durableId="528686479">
    <w:abstractNumId w:val="1"/>
  </w:num>
  <w:num w:numId="7" w16cid:durableId="865368730">
    <w:abstractNumId w:val="3"/>
  </w:num>
  <w:num w:numId="8" w16cid:durableId="18756570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15C71"/>
    <w:rsid w:val="00022F0A"/>
    <w:rsid w:val="00033B60"/>
    <w:rsid w:val="00044BBA"/>
    <w:rsid w:val="00067E5F"/>
    <w:rsid w:val="00074CEF"/>
    <w:rsid w:val="00080410"/>
    <w:rsid w:val="000D6934"/>
    <w:rsid w:val="000F58C4"/>
    <w:rsid w:val="001165A4"/>
    <w:rsid w:val="0017102E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57406"/>
    <w:rsid w:val="002B3B8C"/>
    <w:rsid w:val="002B6E1D"/>
    <w:rsid w:val="002E41A2"/>
    <w:rsid w:val="002E749F"/>
    <w:rsid w:val="00300CA2"/>
    <w:rsid w:val="0030762A"/>
    <w:rsid w:val="00323A18"/>
    <w:rsid w:val="003316D7"/>
    <w:rsid w:val="0033445E"/>
    <w:rsid w:val="00334636"/>
    <w:rsid w:val="00373779"/>
    <w:rsid w:val="003B6047"/>
    <w:rsid w:val="003E7E69"/>
    <w:rsid w:val="003F3D89"/>
    <w:rsid w:val="00412572"/>
    <w:rsid w:val="00413B5C"/>
    <w:rsid w:val="00421E11"/>
    <w:rsid w:val="0043387B"/>
    <w:rsid w:val="0045201F"/>
    <w:rsid w:val="0045511C"/>
    <w:rsid w:val="00455F40"/>
    <w:rsid w:val="004770BA"/>
    <w:rsid w:val="004911F7"/>
    <w:rsid w:val="004A0709"/>
    <w:rsid w:val="004B42F3"/>
    <w:rsid w:val="004C5A7A"/>
    <w:rsid w:val="004D4559"/>
    <w:rsid w:val="0052777A"/>
    <w:rsid w:val="00532BCA"/>
    <w:rsid w:val="00557B4B"/>
    <w:rsid w:val="00570260"/>
    <w:rsid w:val="00596226"/>
    <w:rsid w:val="005B0C86"/>
    <w:rsid w:val="005B4602"/>
    <w:rsid w:val="005B675C"/>
    <w:rsid w:val="005C7081"/>
    <w:rsid w:val="005E50FF"/>
    <w:rsid w:val="00610508"/>
    <w:rsid w:val="00614180"/>
    <w:rsid w:val="00614E94"/>
    <w:rsid w:val="00620D1C"/>
    <w:rsid w:val="006422D4"/>
    <w:rsid w:val="0064712A"/>
    <w:rsid w:val="006570CC"/>
    <w:rsid w:val="00662A7A"/>
    <w:rsid w:val="0066469C"/>
    <w:rsid w:val="00667008"/>
    <w:rsid w:val="00670E92"/>
    <w:rsid w:val="0067380D"/>
    <w:rsid w:val="0067436C"/>
    <w:rsid w:val="006759C4"/>
    <w:rsid w:val="006A06D8"/>
    <w:rsid w:val="006B418A"/>
    <w:rsid w:val="006D4AA1"/>
    <w:rsid w:val="007106C8"/>
    <w:rsid w:val="00715FBA"/>
    <w:rsid w:val="00726529"/>
    <w:rsid w:val="00750611"/>
    <w:rsid w:val="00784163"/>
    <w:rsid w:val="007A2AFD"/>
    <w:rsid w:val="007A79FA"/>
    <w:rsid w:val="00805CAA"/>
    <w:rsid w:val="0081088C"/>
    <w:rsid w:val="00811CD8"/>
    <w:rsid w:val="00827BDF"/>
    <w:rsid w:val="00837C41"/>
    <w:rsid w:val="00850D83"/>
    <w:rsid w:val="008710D7"/>
    <w:rsid w:val="00876F40"/>
    <w:rsid w:val="00881A7D"/>
    <w:rsid w:val="00881B5C"/>
    <w:rsid w:val="008A2867"/>
    <w:rsid w:val="008A611D"/>
    <w:rsid w:val="008A71DC"/>
    <w:rsid w:val="008B7183"/>
    <w:rsid w:val="008E2B6F"/>
    <w:rsid w:val="00911AD4"/>
    <w:rsid w:val="009211E6"/>
    <w:rsid w:val="00940000"/>
    <w:rsid w:val="009421B7"/>
    <w:rsid w:val="00953D96"/>
    <w:rsid w:val="009671C1"/>
    <w:rsid w:val="00967AF9"/>
    <w:rsid w:val="00986997"/>
    <w:rsid w:val="00997E05"/>
    <w:rsid w:val="009B0632"/>
    <w:rsid w:val="009C0198"/>
    <w:rsid w:val="009C2AD7"/>
    <w:rsid w:val="009C2C9C"/>
    <w:rsid w:val="009E425E"/>
    <w:rsid w:val="009E44E6"/>
    <w:rsid w:val="00A014DC"/>
    <w:rsid w:val="00A1277D"/>
    <w:rsid w:val="00A14D8A"/>
    <w:rsid w:val="00A23185"/>
    <w:rsid w:val="00A30D08"/>
    <w:rsid w:val="00A40750"/>
    <w:rsid w:val="00A42701"/>
    <w:rsid w:val="00A52296"/>
    <w:rsid w:val="00A642DF"/>
    <w:rsid w:val="00A67646"/>
    <w:rsid w:val="00AA0D36"/>
    <w:rsid w:val="00AC3AC3"/>
    <w:rsid w:val="00AD78DB"/>
    <w:rsid w:val="00B032E3"/>
    <w:rsid w:val="00B23AFE"/>
    <w:rsid w:val="00B25A98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422"/>
    <w:rsid w:val="00C101F4"/>
    <w:rsid w:val="00C16C79"/>
    <w:rsid w:val="00C32E94"/>
    <w:rsid w:val="00C33A71"/>
    <w:rsid w:val="00C475AE"/>
    <w:rsid w:val="00C64EA4"/>
    <w:rsid w:val="00C90F0A"/>
    <w:rsid w:val="00C92781"/>
    <w:rsid w:val="00C92F42"/>
    <w:rsid w:val="00CA5385"/>
    <w:rsid w:val="00CB1786"/>
    <w:rsid w:val="00CC206D"/>
    <w:rsid w:val="00CC6A5E"/>
    <w:rsid w:val="00CF7CBA"/>
    <w:rsid w:val="00D06352"/>
    <w:rsid w:val="00D06FD8"/>
    <w:rsid w:val="00D14005"/>
    <w:rsid w:val="00D145D1"/>
    <w:rsid w:val="00D174C4"/>
    <w:rsid w:val="00D43B98"/>
    <w:rsid w:val="00D57B27"/>
    <w:rsid w:val="00D67B09"/>
    <w:rsid w:val="00D726F8"/>
    <w:rsid w:val="00D964AB"/>
    <w:rsid w:val="00DC19D8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51A6"/>
    <w:rsid w:val="00E9073C"/>
    <w:rsid w:val="00E9311A"/>
    <w:rsid w:val="00EB58CB"/>
    <w:rsid w:val="00ED7758"/>
    <w:rsid w:val="00EE7066"/>
    <w:rsid w:val="00EE7F75"/>
    <w:rsid w:val="00F10AA1"/>
    <w:rsid w:val="00F56176"/>
    <w:rsid w:val="00F842CB"/>
    <w:rsid w:val="00F866EE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9808CEF0-30E3-46CE-9AD6-356AD22D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413B5C"/>
    <w:pPr>
      <w:spacing w:before="100" w:beforeAutospacing="1" w:after="100" w:afterAutospacing="1"/>
    </w:pPr>
    <w:rPr>
      <w:sz w:val="24"/>
      <w:szCs w:val="24"/>
    </w:rPr>
  </w:style>
  <w:style w:type="character" w:customStyle="1" w:styleId="grame">
    <w:name w:val="grame"/>
    <w:basedOn w:val="VarsaylanParagrafYazTipi"/>
    <w:rsid w:val="00413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Muhammet(5367216152)</dc:creator>
  <cp:lastModifiedBy>GÜNEŞ</cp:lastModifiedBy>
  <cp:revision>8</cp:revision>
  <cp:lastPrinted>2021-04-27T10:03:00Z</cp:lastPrinted>
  <dcterms:created xsi:type="dcterms:W3CDTF">2023-12-27T14:21:00Z</dcterms:created>
  <dcterms:modified xsi:type="dcterms:W3CDTF">2023-12-29T08:47:00Z</dcterms:modified>
</cp:coreProperties>
</file>