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B7EAB" w14:textId="5A972CA1" w:rsidR="00C03F7F" w:rsidRPr="00C03F7F" w:rsidRDefault="00C03F7F" w:rsidP="00B91F4C">
      <w:pPr>
        <w:jc w:val="both"/>
        <w:rPr>
          <w:rFonts w:ascii="Times New Roman" w:hAnsi="Times New Roman" w:cs="Times New Roman"/>
          <w:b/>
        </w:rPr>
      </w:pPr>
      <w:r w:rsidRPr="00C03F7F">
        <w:rPr>
          <w:rFonts w:ascii="Times New Roman" w:hAnsi="Times New Roman" w:cs="Times New Roman"/>
          <w:b/>
        </w:rPr>
        <w:t>1.AMAÇ VE KAPSAM</w:t>
      </w:r>
    </w:p>
    <w:p w14:paraId="6769ECF6" w14:textId="621CDA7A" w:rsidR="00E51660" w:rsidRPr="006D214C" w:rsidRDefault="00CF75BC" w:rsidP="00B91F4C">
      <w:pPr>
        <w:jc w:val="both"/>
        <w:rPr>
          <w:rFonts w:ascii="Times New Roman" w:hAnsi="Times New Roman" w:cs="Times New Roman"/>
        </w:rPr>
      </w:pPr>
      <w:r w:rsidRPr="006D214C">
        <w:rPr>
          <w:rFonts w:ascii="Times New Roman" w:hAnsi="Times New Roman" w:cs="Times New Roman"/>
        </w:rPr>
        <w:t xml:space="preserve">Bu doküman Tekirdağ Namık Kemal Üniversitesi İç Denetleme sürecini ortaya koymaktadır. İç denetlemeler EYS standartları ve YÖKAK değerlendirme ölçütleri kapsamında, yeterliliğin ve mevcut uygulamaların </w:t>
      </w:r>
      <w:proofErr w:type="spellStart"/>
      <w:r w:rsidRPr="006D214C">
        <w:rPr>
          <w:rFonts w:ascii="Times New Roman" w:hAnsi="Times New Roman" w:cs="Times New Roman"/>
        </w:rPr>
        <w:t>dokümante</w:t>
      </w:r>
      <w:proofErr w:type="spellEnd"/>
      <w:r w:rsidRPr="006D214C">
        <w:rPr>
          <w:rFonts w:ascii="Times New Roman" w:hAnsi="Times New Roman" w:cs="Times New Roman"/>
        </w:rPr>
        <w:t xml:space="preserve"> edilen sisteme uygunluğunun denetlenmesi, hedeflere ulaşmadaki etkinliğin gözden geçirilmesi ve iyileştirme fırsatlarının belirlenmesi amacıyla yapılır. İç tetkiklerin, planlanması, gerçekleştirilmesi, raporlanması ve ilgili faaliyetlerin yürütülmesi için yöntemler, rol ve sorumluluklar bu prosedürde tanımlanmıştır. </w:t>
      </w:r>
      <w:r w:rsidR="00472DD3" w:rsidRPr="006D214C">
        <w:rPr>
          <w:rFonts w:ascii="Times New Roman" w:hAnsi="Times New Roman" w:cs="Times New Roman"/>
        </w:rPr>
        <w:t>EYS kapsamına dahil edilmiş tüm birimler ve süreçler bu prosedür kapsamındadır.</w:t>
      </w:r>
    </w:p>
    <w:p w14:paraId="14C37173" w14:textId="77777777" w:rsidR="00472DD3" w:rsidRPr="006D214C" w:rsidRDefault="00472DD3" w:rsidP="00B91F4C">
      <w:pPr>
        <w:pStyle w:val="Default"/>
        <w:jc w:val="both"/>
        <w:rPr>
          <w:sz w:val="22"/>
          <w:szCs w:val="22"/>
        </w:rPr>
      </w:pPr>
      <w:r w:rsidRPr="006D214C">
        <w:rPr>
          <w:sz w:val="22"/>
          <w:szCs w:val="22"/>
        </w:rPr>
        <w:t xml:space="preserve"> </w:t>
      </w:r>
    </w:p>
    <w:p w14:paraId="28E3F5A9" w14:textId="77777777" w:rsidR="00472DD3" w:rsidRPr="006D214C" w:rsidRDefault="00472DD3" w:rsidP="00B91F4C">
      <w:pPr>
        <w:pStyle w:val="Default"/>
        <w:jc w:val="both"/>
        <w:rPr>
          <w:sz w:val="22"/>
          <w:szCs w:val="22"/>
        </w:rPr>
      </w:pPr>
      <w:r w:rsidRPr="006D214C">
        <w:rPr>
          <w:b/>
          <w:bCs/>
          <w:sz w:val="22"/>
          <w:szCs w:val="22"/>
        </w:rPr>
        <w:t xml:space="preserve">2. ÖNEMLİ KAVRAMLAR VE TANIMLAMALAR </w:t>
      </w:r>
    </w:p>
    <w:p w14:paraId="4C5426AA" w14:textId="29020D0C" w:rsidR="00472DD3" w:rsidRPr="006D214C" w:rsidRDefault="00472DD3" w:rsidP="00B91F4C">
      <w:pPr>
        <w:pStyle w:val="Default"/>
        <w:jc w:val="both"/>
        <w:rPr>
          <w:sz w:val="22"/>
          <w:szCs w:val="22"/>
        </w:rPr>
      </w:pPr>
      <w:r w:rsidRPr="006D214C">
        <w:rPr>
          <w:b/>
          <w:bCs/>
          <w:sz w:val="22"/>
          <w:szCs w:val="22"/>
        </w:rPr>
        <w:t xml:space="preserve">İç </w:t>
      </w:r>
      <w:r w:rsidR="001C0E23">
        <w:rPr>
          <w:b/>
          <w:bCs/>
          <w:sz w:val="22"/>
          <w:szCs w:val="22"/>
        </w:rPr>
        <w:t>Denetleme</w:t>
      </w:r>
      <w:r w:rsidRPr="006D214C">
        <w:rPr>
          <w:b/>
          <w:bCs/>
          <w:sz w:val="22"/>
          <w:szCs w:val="22"/>
        </w:rPr>
        <w:t>:</w:t>
      </w:r>
      <w:r w:rsidRPr="001C0E23">
        <w:rPr>
          <w:sz w:val="22"/>
          <w:szCs w:val="22"/>
        </w:rPr>
        <w:t xml:space="preserve"> </w:t>
      </w:r>
      <w:r w:rsidR="001C0E23" w:rsidRPr="001C0E23">
        <w:rPr>
          <w:sz w:val="22"/>
          <w:szCs w:val="22"/>
        </w:rPr>
        <w:t>Entegre Yönetim Sisteminin</w:t>
      </w:r>
      <w:r w:rsidRPr="006D214C">
        <w:rPr>
          <w:sz w:val="22"/>
          <w:szCs w:val="22"/>
        </w:rPr>
        <w:t xml:space="preserve"> varlığını, uygulandığını ve etkinliğini ilgili standarda ve yasal gerekliliklere göre objektif delillere dayanarak sorgulayan sistematik, bağımsız süreçtir. </w:t>
      </w:r>
    </w:p>
    <w:p w14:paraId="535C3288" w14:textId="3FE093A6" w:rsidR="00472DD3" w:rsidRPr="006D214C" w:rsidRDefault="00E805DE" w:rsidP="00B91F4C">
      <w:pPr>
        <w:pStyle w:val="Default"/>
        <w:jc w:val="both"/>
        <w:rPr>
          <w:sz w:val="22"/>
          <w:szCs w:val="22"/>
        </w:rPr>
      </w:pPr>
      <w:r>
        <w:rPr>
          <w:b/>
          <w:bCs/>
          <w:sz w:val="22"/>
          <w:szCs w:val="22"/>
        </w:rPr>
        <w:t>Denetçi</w:t>
      </w:r>
      <w:r w:rsidR="00472DD3" w:rsidRPr="006D214C">
        <w:rPr>
          <w:b/>
          <w:bCs/>
          <w:sz w:val="22"/>
          <w:szCs w:val="22"/>
        </w:rPr>
        <w:t xml:space="preserve">: </w:t>
      </w:r>
      <w:r w:rsidR="00472DD3" w:rsidRPr="006D214C">
        <w:rPr>
          <w:sz w:val="22"/>
          <w:szCs w:val="22"/>
        </w:rPr>
        <w:t xml:space="preserve">Tetkiki planlandığı şekliyle gerçekleştiren, bu amaç için gerekli nitelik ve yeterlilikteki, mümkün olduğu hâllerde tetkik edilecek birimden bağımsız kişiyi ifade eder. </w:t>
      </w:r>
    </w:p>
    <w:p w14:paraId="130B5F07" w14:textId="77777777" w:rsidR="00472DD3" w:rsidRPr="006D214C" w:rsidRDefault="00472DD3" w:rsidP="00B91F4C">
      <w:pPr>
        <w:pStyle w:val="Default"/>
        <w:jc w:val="both"/>
        <w:rPr>
          <w:sz w:val="22"/>
          <w:szCs w:val="22"/>
        </w:rPr>
      </w:pPr>
      <w:r w:rsidRPr="006D214C">
        <w:rPr>
          <w:b/>
          <w:bCs/>
          <w:sz w:val="22"/>
          <w:szCs w:val="22"/>
        </w:rPr>
        <w:t xml:space="preserve">Ekip lideri: </w:t>
      </w:r>
      <w:r w:rsidRPr="006D214C">
        <w:rPr>
          <w:sz w:val="22"/>
          <w:szCs w:val="22"/>
        </w:rPr>
        <w:t xml:space="preserve">Denetim ile ilgili sorumlulukları ve yetkileri üstlenen kişi. </w:t>
      </w:r>
    </w:p>
    <w:p w14:paraId="36495E4B" w14:textId="6D99C84A" w:rsidR="00472DD3" w:rsidRPr="006D214C" w:rsidRDefault="00472DD3" w:rsidP="00B91F4C">
      <w:pPr>
        <w:pStyle w:val="Default"/>
        <w:jc w:val="both"/>
        <w:rPr>
          <w:sz w:val="22"/>
          <w:szCs w:val="22"/>
        </w:rPr>
      </w:pPr>
      <w:r w:rsidRPr="006D214C">
        <w:rPr>
          <w:b/>
          <w:bCs/>
          <w:sz w:val="22"/>
          <w:szCs w:val="22"/>
        </w:rPr>
        <w:t>Uygunsuzluk</w:t>
      </w:r>
      <w:r w:rsidR="00DD0D7B">
        <w:rPr>
          <w:b/>
          <w:bCs/>
          <w:sz w:val="22"/>
          <w:szCs w:val="22"/>
        </w:rPr>
        <w:t xml:space="preserve"> Majör/minör</w:t>
      </w:r>
      <w:r w:rsidRPr="006D214C">
        <w:rPr>
          <w:b/>
          <w:bCs/>
          <w:sz w:val="22"/>
          <w:szCs w:val="22"/>
        </w:rPr>
        <w:t xml:space="preserve">: </w:t>
      </w:r>
      <w:r w:rsidRPr="006D214C">
        <w:rPr>
          <w:sz w:val="22"/>
          <w:szCs w:val="22"/>
        </w:rPr>
        <w:t xml:space="preserve">İlgili kalite yönetim standardının gerekliliklerinin karşılanmaması veya karşılanmasında eksiklikler tespit edilmesi hâlinde objektif delillerle desteklenmek suretiyle kaydedilmesi gereken bulgulardır. </w:t>
      </w:r>
    </w:p>
    <w:p w14:paraId="37B3396A" w14:textId="77777777" w:rsidR="00472DD3" w:rsidRPr="006D214C" w:rsidRDefault="00472DD3" w:rsidP="00B91F4C">
      <w:pPr>
        <w:pStyle w:val="Default"/>
        <w:jc w:val="both"/>
        <w:rPr>
          <w:sz w:val="22"/>
          <w:szCs w:val="22"/>
        </w:rPr>
      </w:pPr>
      <w:r w:rsidRPr="006D214C">
        <w:rPr>
          <w:b/>
          <w:bCs/>
          <w:sz w:val="22"/>
          <w:szCs w:val="22"/>
        </w:rPr>
        <w:t xml:space="preserve">Objektif delil: </w:t>
      </w:r>
      <w:r w:rsidRPr="006D214C">
        <w:rPr>
          <w:sz w:val="22"/>
          <w:szCs w:val="22"/>
        </w:rPr>
        <w:t xml:space="preserve">Tetkik süresince bulguları desteklemek için alınan her türlü kayıt. </w:t>
      </w:r>
    </w:p>
    <w:p w14:paraId="3FA5C23C" w14:textId="77777777" w:rsidR="00DD0D7B" w:rsidRPr="00800BC5" w:rsidRDefault="00472DD3" w:rsidP="00B91F4C">
      <w:pPr>
        <w:pStyle w:val="Default"/>
        <w:jc w:val="both"/>
        <w:rPr>
          <w:sz w:val="22"/>
          <w:szCs w:val="22"/>
        </w:rPr>
      </w:pPr>
      <w:r w:rsidRPr="00800BC5">
        <w:rPr>
          <w:b/>
          <w:bCs/>
          <w:sz w:val="22"/>
          <w:szCs w:val="22"/>
        </w:rPr>
        <w:t xml:space="preserve">Gözlem: </w:t>
      </w:r>
      <w:r w:rsidRPr="00800BC5">
        <w:rPr>
          <w:sz w:val="22"/>
          <w:szCs w:val="22"/>
        </w:rPr>
        <w:t>Tetkik ekibi tarafından tespit edilen henüz uygunsuzluğa dönüşmemiş ancak dönüşme potansiyeli olan veya iyileştirmeye açık alanları belirten bulgulardır.</w:t>
      </w:r>
    </w:p>
    <w:p w14:paraId="607DD5CF" w14:textId="2E1C9C15" w:rsidR="00DD0D7B" w:rsidRPr="00800BC5" w:rsidRDefault="00DD0D7B" w:rsidP="00B91F4C">
      <w:pPr>
        <w:pStyle w:val="Default"/>
        <w:jc w:val="both"/>
        <w:rPr>
          <w:sz w:val="22"/>
          <w:szCs w:val="22"/>
        </w:rPr>
      </w:pPr>
      <w:proofErr w:type="gramStart"/>
      <w:r w:rsidRPr="0000046A">
        <w:rPr>
          <w:b/>
          <w:sz w:val="22"/>
          <w:szCs w:val="22"/>
        </w:rPr>
        <w:t>Bilinmiyor :</w:t>
      </w:r>
      <w:proofErr w:type="gramEnd"/>
      <w:r w:rsidRPr="00800BC5">
        <w:rPr>
          <w:sz w:val="22"/>
          <w:szCs w:val="22"/>
        </w:rPr>
        <w:t xml:space="preserve"> İlgili süreç hakkında bilgi bulunmaması durumudur.</w:t>
      </w:r>
    </w:p>
    <w:p w14:paraId="0D58F399" w14:textId="5635FF2D" w:rsidR="00DD0D7B" w:rsidRPr="00800BC5" w:rsidRDefault="00DD0D7B" w:rsidP="00B91F4C">
      <w:pPr>
        <w:pStyle w:val="Default"/>
        <w:jc w:val="both"/>
        <w:rPr>
          <w:sz w:val="22"/>
          <w:szCs w:val="22"/>
        </w:rPr>
      </w:pPr>
      <w:r w:rsidRPr="0000046A">
        <w:rPr>
          <w:b/>
          <w:sz w:val="22"/>
          <w:szCs w:val="22"/>
        </w:rPr>
        <w:t xml:space="preserve">Tam </w:t>
      </w:r>
      <w:proofErr w:type="gramStart"/>
      <w:r w:rsidRPr="0000046A">
        <w:rPr>
          <w:b/>
          <w:sz w:val="22"/>
          <w:szCs w:val="22"/>
        </w:rPr>
        <w:t>entegre :</w:t>
      </w:r>
      <w:proofErr w:type="gramEnd"/>
      <w:r w:rsidRPr="00800BC5">
        <w:rPr>
          <w:sz w:val="22"/>
          <w:szCs w:val="22"/>
        </w:rPr>
        <w:t xml:space="preserve"> İlgili süreçlerle tam uyumlu olması durumu</w:t>
      </w:r>
      <w:r w:rsidR="00800BC5">
        <w:rPr>
          <w:sz w:val="22"/>
          <w:szCs w:val="22"/>
        </w:rPr>
        <w:t>dur.</w:t>
      </w:r>
    </w:p>
    <w:p w14:paraId="6A922C34" w14:textId="0D50DA2D" w:rsidR="00DD0D7B" w:rsidRPr="00800BC5" w:rsidRDefault="00DD0D7B" w:rsidP="00B91F4C">
      <w:pPr>
        <w:pStyle w:val="Default"/>
        <w:jc w:val="both"/>
        <w:rPr>
          <w:sz w:val="22"/>
          <w:szCs w:val="22"/>
        </w:rPr>
      </w:pPr>
      <w:r w:rsidRPr="0000046A">
        <w:rPr>
          <w:b/>
          <w:sz w:val="22"/>
          <w:szCs w:val="22"/>
        </w:rPr>
        <w:t xml:space="preserve">Kapsam </w:t>
      </w:r>
      <w:proofErr w:type="gramStart"/>
      <w:r w:rsidRPr="0000046A">
        <w:rPr>
          <w:b/>
          <w:sz w:val="22"/>
          <w:szCs w:val="22"/>
        </w:rPr>
        <w:t>dışı :</w:t>
      </w:r>
      <w:proofErr w:type="gramEnd"/>
      <w:r w:rsidRPr="00800BC5">
        <w:rPr>
          <w:sz w:val="22"/>
          <w:szCs w:val="22"/>
        </w:rPr>
        <w:t xml:space="preserve"> </w:t>
      </w:r>
      <w:r w:rsidR="00271029" w:rsidRPr="00800BC5">
        <w:rPr>
          <w:sz w:val="22"/>
          <w:szCs w:val="22"/>
        </w:rPr>
        <w:t>Süreçlere dahil olmayan.</w:t>
      </w:r>
    </w:p>
    <w:p w14:paraId="4DE8808D" w14:textId="7E3E832B" w:rsidR="00DD0D7B" w:rsidRDefault="00DD0D7B" w:rsidP="00B91F4C">
      <w:pPr>
        <w:pStyle w:val="Default"/>
        <w:jc w:val="both"/>
        <w:rPr>
          <w:sz w:val="22"/>
          <w:szCs w:val="22"/>
        </w:rPr>
      </w:pPr>
      <w:proofErr w:type="gramStart"/>
      <w:r w:rsidRPr="0000046A">
        <w:rPr>
          <w:b/>
          <w:sz w:val="22"/>
          <w:szCs w:val="22"/>
        </w:rPr>
        <w:t>Yönetiliyor :</w:t>
      </w:r>
      <w:proofErr w:type="gramEnd"/>
      <w:r w:rsidR="00271029" w:rsidRPr="00800BC5">
        <w:rPr>
          <w:sz w:val="22"/>
          <w:szCs w:val="22"/>
        </w:rPr>
        <w:t xml:space="preserve"> </w:t>
      </w:r>
      <w:r w:rsidR="00800BC5">
        <w:rPr>
          <w:sz w:val="22"/>
          <w:szCs w:val="22"/>
        </w:rPr>
        <w:t>İlgili süreçlere uyumlu olması durumudur.</w:t>
      </w:r>
    </w:p>
    <w:p w14:paraId="71AE6D00" w14:textId="6B9880E8" w:rsidR="00472DD3" w:rsidRDefault="00472DD3" w:rsidP="00B91F4C">
      <w:pPr>
        <w:pStyle w:val="Default"/>
        <w:jc w:val="both"/>
        <w:rPr>
          <w:sz w:val="22"/>
          <w:szCs w:val="22"/>
        </w:rPr>
      </w:pPr>
      <w:r w:rsidRPr="006D214C">
        <w:rPr>
          <w:sz w:val="22"/>
          <w:szCs w:val="22"/>
        </w:rPr>
        <w:t xml:space="preserve"> </w:t>
      </w:r>
    </w:p>
    <w:p w14:paraId="4B987C81" w14:textId="77777777" w:rsidR="00472DD3" w:rsidRPr="006D214C" w:rsidRDefault="00472DD3" w:rsidP="00B91F4C">
      <w:pPr>
        <w:pStyle w:val="Default"/>
        <w:jc w:val="both"/>
        <w:rPr>
          <w:sz w:val="22"/>
          <w:szCs w:val="22"/>
        </w:rPr>
      </w:pPr>
      <w:r w:rsidRPr="006D214C">
        <w:rPr>
          <w:b/>
          <w:bCs/>
          <w:sz w:val="22"/>
          <w:szCs w:val="22"/>
        </w:rPr>
        <w:t xml:space="preserve">3. ROLLER VE SORUMLULUKLAR </w:t>
      </w:r>
    </w:p>
    <w:p w14:paraId="33ED4318" w14:textId="77777777" w:rsidR="00472DD3" w:rsidRPr="006D214C" w:rsidRDefault="00472DD3" w:rsidP="00B91F4C">
      <w:pPr>
        <w:pStyle w:val="Default"/>
        <w:jc w:val="both"/>
        <w:rPr>
          <w:sz w:val="22"/>
          <w:szCs w:val="22"/>
        </w:rPr>
      </w:pPr>
    </w:p>
    <w:p w14:paraId="3033CE94" w14:textId="721B9E95" w:rsidR="00472DD3" w:rsidRPr="006D214C" w:rsidRDefault="00472DD3" w:rsidP="00B91F4C">
      <w:pPr>
        <w:pStyle w:val="Default"/>
        <w:jc w:val="both"/>
        <w:rPr>
          <w:sz w:val="22"/>
          <w:szCs w:val="22"/>
        </w:rPr>
      </w:pPr>
      <w:r w:rsidRPr="006D214C">
        <w:rPr>
          <w:sz w:val="22"/>
          <w:szCs w:val="22"/>
        </w:rPr>
        <w:t xml:space="preserve">Bu prosedürün uygulanmasından </w:t>
      </w:r>
      <w:r w:rsidR="00E805DE">
        <w:rPr>
          <w:sz w:val="22"/>
          <w:szCs w:val="22"/>
        </w:rPr>
        <w:t>Kalite Komisyonu Başkanlığı,</w:t>
      </w:r>
      <w:r w:rsidRPr="006D214C">
        <w:rPr>
          <w:sz w:val="22"/>
          <w:szCs w:val="22"/>
        </w:rPr>
        <w:t xml:space="preserve"> </w:t>
      </w:r>
      <w:r w:rsidR="00E805DE">
        <w:rPr>
          <w:sz w:val="22"/>
          <w:szCs w:val="22"/>
        </w:rPr>
        <w:t xml:space="preserve">Birim yöneticileri, </w:t>
      </w:r>
      <w:r w:rsidRPr="006D214C">
        <w:rPr>
          <w:sz w:val="22"/>
          <w:szCs w:val="22"/>
        </w:rPr>
        <w:t xml:space="preserve">kalite elçileri ve </w:t>
      </w:r>
      <w:r w:rsidR="00E805DE">
        <w:rPr>
          <w:sz w:val="22"/>
          <w:szCs w:val="22"/>
        </w:rPr>
        <w:t xml:space="preserve">Tekirdağ Namık Kemal Üniversitesi </w:t>
      </w:r>
      <w:r w:rsidRPr="006D214C">
        <w:rPr>
          <w:sz w:val="22"/>
          <w:szCs w:val="22"/>
        </w:rPr>
        <w:t xml:space="preserve">İç </w:t>
      </w:r>
      <w:r w:rsidR="00E805DE">
        <w:rPr>
          <w:sz w:val="22"/>
          <w:szCs w:val="22"/>
        </w:rPr>
        <w:t>Denetçi</w:t>
      </w:r>
      <w:r w:rsidRPr="006D214C">
        <w:rPr>
          <w:sz w:val="22"/>
          <w:szCs w:val="22"/>
        </w:rPr>
        <w:t xml:space="preserve"> Havuzunda yer alan personel sorumludur. </w:t>
      </w:r>
    </w:p>
    <w:p w14:paraId="10FE9499" w14:textId="77777777" w:rsidR="00E805DE" w:rsidRDefault="00E805DE" w:rsidP="00B91F4C">
      <w:pPr>
        <w:pStyle w:val="Default"/>
        <w:jc w:val="both"/>
        <w:rPr>
          <w:b/>
          <w:bCs/>
          <w:sz w:val="22"/>
          <w:szCs w:val="22"/>
        </w:rPr>
      </w:pPr>
    </w:p>
    <w:p w14:paraId="4E88DBF5" w14:textId="289FAEB8" w:rsidR="00472DD3" w:rsidRPr="006D214C" w:rsidRDefault="00472DD3" w:rsidP="00B91F4C">
      <w:pPr>
        <w:pStyle w:val="Default"/>
        <w:jc w:val="both"/>
        <w:rPr>
          <w:sz w:val="22"/>
          <w:szCs w:val="22"/>
        </w:rPr>
      </w:pPr>
      <w:r w:rsidRPr="006D214C">
        <w:rPr>
          <w:b/>
          <w:bCs/>
          <w:sz w:val="22"/>
          <w:szCs w:val="22"/>
        </w:rPr>
        <w:t xml:space="preserve">4. UYGULAMA </w:t>
      </w:r>
    </w:p>
    <w:p w14:paraId="736B17D3" w14:textId="77777777" w:rsidR="00472DD3" w:rsidRPr="006D214C" w:rsidRDefault="00472DD3" w:rsidP="00B91F4C">
      <w:pPr>
        <w:pStyle w:val="Default"/>
        <w:jc w:val="both"/>
        <w:rPr>
          <w:sz w:val="22"/>
          <w:szCs w:val="22"/>
        </w:rPr>
      </w:pPr>
    </w:p>
    <w:p w14:paraId="6E7DE0FA" w14:textId="2B0321DE" w:rsidR="00472DD3" w:rsidRPr="006D214C" w:rsidRDefault="00C03F7F" w:rsidP="00B91F4C">
      <w:pPr>
        <w:pStyle w:val="Default"/>
        <w:jc w:val="both"/>
        <w:rPr>
          <w:sz w:val="22"/>
          <w:szCs w:val="22"/>
        </w:rPr>
      </w:pPr>
      <w:r>
        <w:rPr>
          <w:b/>
          <w:bCs/>
          <w:sz w:val="22"/>
          <w:szCs w:val="22"/>
        </w:rPr>
        <w:t>4.1 İç Denetçilerin</w:t>
      </w:r>
      <w:r w:rsidR="00472DD3" w:rsidRPr="006D214C">
        <w:rPr>
          <w:b/>
          <w:bCs/>
          <w:sz w:val="22"/>
          <w:szCs w:val="22"/>
        </w:rPr>
        <w:t xml:space="preserve"> Seçimi </w:t>
      </w:r>
    </w:p>
    <w:p w14:paraId="6E2CC33D" w14:textId="77777777" w:rsidR="00472DD3" w:rsidRPr="006D214C" w:rsidRDefault="00472DD3" w:rsidP="00B91F4C">
      <w:pPr>
        <w:pStyle w:val="Default"/>
        <w:jc w:val="both"/>
        <w:rPr>
          <w:sz w:val="22"/>
          <w:szCs w:val="22"/>
        </w:rPr>
      </w:pPr>
    </w:p>
    <w:p w14:paraId="464AF512" w14:textId="1C08AE2F" w:rsidR="00472DD3" w:rsidRPr="006D214C" w:rsidRDefault="00472DD3" w:rsidP="00B91F4C">
      <w:pPr>
        <w:pStyle w:val="Default"/>
        <w:jc w:val="both"/>
        <w:rPr>
          <w:sz w:val="22"/>
          <w:szCs w:val="22"/>
        </w:rPr>
      </w:pPr>
      <w:r w:rsidRPr="006D214C">
        <w:rPr>
          <w:sz w:val="22"/>
          <w:szCs w:val="22"/>
        </w:rPr>
        <w:t xml:space="preserve">Bu prosedür kapsamında iç tetkiklerin gerçekleştirilmesinde </w:t>
      </w:r>
      <w:r w:rsidR="00E805DE">
        <w:rPr>
          <w:sz w:val="22"/>
          <w:szCs w:val="22"/>
        </w:rPr>
        <w:t xml:space="preserve">Tekirdağ Namık Kemal Üniversitesi </w:t>
      </w:r>
      <w:r w:rsidR="00E805DE" w:rsidRPr="006D214C">
        <w:rPr>
          <w:sz w:val="22"/>
          <w:szCs w:val="22"/>
        </w:rPr>
        <w:t xml:space="preserve">İç </w:t>
      </w:r>
      <w:r w:rsidR="00E805DE">
        <w:rPr>
          <w:sz w:val="22"/>
          <w:szCs w:val="22"/>
        </w:rPr>
        <w:t>Denetçi</w:t>
      </w:r>
      <w:r w:rsidR="00E805DE" w:rsidRPr="006D214C">
        <w:rPr>
          <w:sz w:val="22"/>
          <w:szCs w:val="22"/>
        </w:rPr>
        <w:t xml:space="preserve"> </w:t>
      </w:r>
      <w:proofErr w:type="spellStart"/>
      <w:r w:rsidR="00E805DE" w:rsidRPr="006D214C">
        <w:rPr>
          <w:sz w:val="22"/>
          <w:szCs w:val="22"/>
        </w:rPr>
        <w:t>Havuzu</w:t>
      </w:r>
      <w:r w:rsidRPr="006D214C">
        <w:rPr>
          <w:sz w:val="22"/>
          <w:szCs w:val="22"/>
        </w:rPr>
        <w:t>’nda</w:t>
      </w:r>
      <w:proofErr w:type="spellEnd"/>
      <w:r w:rsidRPr="006D214C">
        <w:rPr>
          <w:sz w:val="22"/>
          <w:szCs w:val="22"/>
        </w:rPr>
        <w:t xml:space="preserve"> yer alan personel görev yapar. İç </w:t>
      </w:r>
      <w:r w:rsidR="00E805DE">
        <w:rPr>
          <w:sz w:val="22"/>
          <w:szCs w:val="22"/>
        </w:rPr>
        <w:t xml:space="preserve">denetçi </w:t>
      </w:r>
      <w:r w:rsidRPr="006D214C">
        <w:rPr>
          <w:sz w:val="22"/>
          <w:szCs w:val="22"/>
        </w:rPr>
        <w:t xml:space="preserve">havuzunda yer alan personelin niteliği aşağıda belirtildiği şekildedir. </w:t>
      </w:r>
    </w:p>
    <w:p w14:paraId="44A87B65" w14:textId="0861C280" w:rsidR="00472DD3" w:rsidRPr="006D214C" w:rsidRDefault="00472DD3" w:rsidP="00B91F4C">
      <w:pPr>
        <w:pStyle w:val="Default"/>
        <w:spacing w:after="49"/>
        <w:jc w:val="both"/>
        <w:rPr>
          <w:sz w:val="22"/>
          <w:szCs w:val="22"/>
        </w:rPr>
      </w:pPr>
      <w:r w:rsidRPr="006D214C">
        <w:rPr>
          <w:sz w:val="22"/>
          <w:szCs w:val="22"/>
        </w:rPr>
        <w:t>1. TS EN ISO 9001</w:t>
      </w:r>
      <w:r w:rsidR="00E805DE">
        <w:rPr>
          <w:sz w:val="22"/>
          <w:szCs w:val="22"/>
        </w:rPr>
        <w:t>:2015</w:t>
      </w:r>
      <w:r w:rsidRPr="006D214C">
        <w:rPr>
          <w:sz w:val="22"/>
          <w:szCs w:val="22"/>
        </w:rPr>
        <w:t xml:space="preserve"> standardı eğitimi almış olmak </w:t>
      </w:r>
    </w:p>
    <w:p w14:paraId="0E92B2F4" w14:textId="2850F139" w:rsidR="00472DD3" w:rsidRPr="006D214C" w:rsidRDefault="00472DD3" w:rsidP="00B91F4C">
      <w:pPr>
        <w:pStyle w:val="Default"/>
        <w:spacing w:after="49"/>
        <w:jc w:val="both"/>
        <w:rPr>
          <w:sz w:val="22"/>
          <w:szCs w:val="22"/>
        </w:rPr>
      </w:pPr>
      <w:r w:rsidRPr="006D214C">
        <w:rPr>
          <w:sz w:val="22"/>
          <w:szCs w:val="22"/>
        </w:rPr>
        <w:t xml:space="preserve">2. İç </w:t>
      </w:r>
      <w:r w:rsidR="00E805DE">
        <w:rPr>
          <w:sz w:val="22"/>
          <w:szCs w:val="22"/>
        </w:rPr>
        <w:t>denetçi</w:t>
      </w:r>
      <w:r w:rsidRPr="006D214C">
        <w:rPr>
          <w:sz w:val="22"/>
          <w:szCs w:val="22"/>
        </w:rPr>
        <w:t xml:space="preserve"> eğitimi almış olmak </w:t>
      </w:r>
      <w:r w:rsidR="00E805DE">
        <w:rPr>
          <w:sz w:val="22"/>
          <w:szCs w:val="22"/>
        </w:rPr>
        <w:t>ve yapılan sınavdan 70 puan almak.</w:t>
      </w:r>
    </w:p>
    <w:p w14:paraId="575395D4" w14:textId="77777777" w:rsidR="00472DD3" w:rsidRPr="006D214C" w:rsidRDefault="00472DD3" w:rsidP="00B91F4C">
      <w:pPr>
        <w:pStyle w:val="Default"/>
        <w:jc w:val="both"/>
        <w:rPr>
          <w:sz w:val="22"/>
          <w:szCs w:val="22"/>
        </w:rPr>
      </w:pPr>
    </w:p>
    <w:p w14:paraId="3E6ADDC8" w14:textId="12D42121" w:rsidR="00472DD3" w:rsidRPr="006D214C" w:rsidRDefault="00472DD3" w:rsidP="00B91F4C">
      <w:pPr>
        <w:pStyle w:val="Default"/>
        <w:jc w:val="both"/>
        <w:rPr>
          <w:sz w:val="22"/>
          <w:szCs w:val="22"/>
        </w:rPr>
      </w:pPr>
      <w:r w:rsidRPr="006D214C">
        <w:rPr>
          <w:b/>
          <w:bCs/>
          <w:sz w:val="22"/>
          <w:szCs w:val="22"/>
        </w:rPr>
        <w:t xml:space="preserve">4.2 İç Tetkiklerin Planlanması </w:t>
      </w:r>
    </w:p>
    <w:p w14:paraId="24CB1474" w14:textId="77777777" w:rsidR="00472DD3" w:rsidRPr="006D214C" w:rsidRDefault="00472DD3" w:rsidP="00B91F4C">
      <w:pPr>
        <w:pStyle w:val="Default"/>
        <w:jc w:val="both"/>
        <w:rPr>
          <w:sz w:val="22"/>
          <w:szCs w:val="22"/>
        </w:rPr>
      </w:pPr>
    </w:p>
    <w:p w14:paraId="1DDC74F8" w14:textId="514A8652" w:rsidR="00472DD3" w:rsidRDefault="00472DD3" w:rsidP="00B91F4C">
      <w:pPr>
        <w:pStyle w:val="Default"/>
        <w:jc w:val="both"/>
        <w:rPr>
          <w:sz w:val="22"/>
          <w:szCs w:val="22"/>
        </w:rPr>
      </w:pPr>
      <w:r w:rsidRPr="006D214C">
        <w:rPr>
          <w:sz w:val="22"/>
          <w:szCs w:val="22"/>
        </w:rPr>
        <w:t>İç tetkikler bu prosedür gereğince Kalite Ko</w:t>
      </w:r>
      <w:r w:rsidR="009875C7">
        <w:rPr>
          <w:sz w:val="22"/>
          <w:szCs w:val="22"/>
        </w:rPr>
        <w:t xml:space="preserve">misyonu tarafından oluşturulacak plana </w:t>
      </w:r>
      <w:r w:rsidRPr="006D214C">
        <w:rPr>
          <w:sz w:val="22"/>
          <w:szCs w:val="22"/>
        </w:rPr>
        <w:t xml:space="preserve">uygun olarak gerçekleştirilir. Bir yıl içerisinde tüm birimlerin en az bir defa denetlenmesi esastır. İç tetkik planı her yıl </w:t>
      </w:r>
      <w:r w:rsidR="00116369">
        <w:rPr>
          <w:sz w:val="22"/>
          <w:szCs w:val="22"/>
        </w:rPr>
        <w:t>Mayıs</w:t>
      </w:r>
      <w:r w:rsidRPr="006D214C">
        <w:rPr>
          <w:sz w:val="22"/>
          <w:szCs w:val="22"/>
        </w:rPr>
        <w:t xml:space="preserve"> ayında Kalite Ko</w:t>
      </w:r>
      <w:r w:rsidR="009875C7">
        <w:rPr>
          <w:sz w:val="22"/>
          <w:szCs w:val="22"/>
        </w:rPr>
        <w:t xml:space="preserve">misyonu tarafından </w:t>
      </w:r>
      <w:r w:rsidRPr="006D214C">
        <w:rPr>
          <w:sz w:val="22"/>
          <w:szCs w:val="22"/>
        </w:rPr>
        <w:t>EBYS üzerinden ve</w:t>
      </w:r>
      <w:r w:rsidR="009875C7">
        <w:rPr>
          <w:sz w:val="22"/>
          <w:szCs w:val="22"/>
        </w:rPr>
        <w:t>/veya</w:t>
      </w:r>
      <w:r w:rsidRPr="006D214C">
        <w:rPr>
          <w:sz w:val="22"/>
          <w:szCs w:val="22"/>
        </w:rPr>
        <w:t xml:space="preserve"> web sayfası “Duyurular” alanından ilan edilir. </w:t>
      </w:r>
      <w:r w:rsidR="00DE2183">
        <w:rPr>
          <w:sz w:val="22"/>
          <w:szCs w:val="22"/>
        </w:rPr>
        <w:t xml:space="preserve">İlgili sorular </w:t>
      </w:r>
      <w:proofErr w:type="spellStart"/>
      <w:r w:rsidR="00DE2183">
        <w:rPr>
          <w:sz w:val="22"/>
          <w:szCs w:val="22"/>
        </w:rPr>
        <w:t>ESAS’a</w:t>
      </w:r>
      <w:proofErr w:type="spellEnd"/>
      <w:r w:rsidR="00DE2183">
        <w:rPr>
          <w:sz w:val="22"/>
          <w:szCs w:val="22"/>
        </w:rPr>
        <w:t xml:space="preserve"> girilerek otomatik denetim sisteminde iç denetçilere sunulur. </w:t>
      </w:r>
      <w:r w:rsidR="009875C7">
        <w:rPr>
          <w:sz w:val="22"/>
          <w:szCs w:val="22"/>
        </w:rPr>
        <w:t>Denetleme ekibi</w:t>
      </w:r>
      <w:r w:rsidRPr="006D214C">
        <w:rPr>
          <w:sz w:val="22"/>
          <w:szCs w:val="22"/>
        </w:rPr>
        <w:t xml:space="preserve"> ve </w:t>
      </w:r>
      <w:r w:rsidR="009875C7">
        <w:rPr>
          <w:sz w:val="22"/>
          <w:szCs w:val="22"/>
        </w:rPr>
        <w:t>denetleme süresi</w:t>
      </w:r>
      <w:r w:rsidRPr="006D214C">
        <w:rPr>
          <w:sz w:val="22"/>
          <w:szCs w:val="22"/>
        </w:rPr>
        <w:t xml:space="preserve"> iç </w:t>
      </w:r>
      <w:r w:rsidR="009875C7">
        <w:rPr>
          <w:sz w:val="22"/>
          <w:szCs w:val="22"/>
        </w:rPr>
        <w:t xml:space="preserve">denetleme planında </w:t>
      </w:r>
      <w:r w:rsidRPr="006D214C">
        <w:rPr>
          <w:sz w:val="22"/>
          <w:szCs w:val="22"/>
        </w:rPr>
        <w:t xml:space="preserve">yer alır. Planlama, tetkikçilerin uygulanabilir </w:t>
      </w:r>
      <w:r w:rsidRPr="006D214C">
        <w:rPr>
          <w:sz w:val="22"/>
          <w:szCs w:val="22"/>
        </w:rPr>
        <w:lastRenderedPageBreak/>
        <w:t xml:space="preserve">olan her yerde tetkik edilmekte olan faaliyetten bağımsız olacağı şekilde yapılır. </w:t>
      </w:r>
      <w:r w:rsidR="009875C7">
        <w:rPr>
          <w:sz w:val="22"/>
          <w:szCs w:val="22"/>
        </w:rPr>
        <w:t>Denetleme</w:t>
      </w:r>
      <w:r w:rsidRPr="006D214C">
        <w:rPr>
          <w:sz w:val="22"/>
          <w:szCs w:val="22"/>
        </w:rPr>
        <w:t xml:space="preserve"> ekibi denetlenecek birimin faaliyet kapsamına göre birden fazla kişiden oluşabilir. Böyle durumlarda iç </w:t>
      </w:r>
      <w:r w:rsidR="009875C7">
        <w:rPr>
          <w:sz w:val="22"/>
          <w:szCs w:val="22"/>
        </w:rPr>
        <w:t>denetim</w:t>
      </w:r>
      <w:r w:rsidRPr="006D214C">
        <w:rPr>
          <w:sz w:val="22"/>
          <w:szCs w:val="22"/>
        </w:rPr>
        <w:t xml:space="preserve"> planı ekip liderini belirtecek şekilde hazırlanır. </w:t>
      </w:r>
      <w:r w:rsidR="009875C7">
        <w:rPr>
          <w:sz w:val="22"/>
          <w:szCs w:val="22"/>
        </w:rPr>
        <w:t>Denetlemenin</w:t>
      </w:r>
      <w:r w:rsidRPr="006D214C">
        <w:rPr>
          <w:sz w:val="22"/>
          <w:szCs w:val="22"/>
        </w:rPr>
        <w:t xml:space="preserve"> yürütülmesinde ekip lideri tarafından görev dağılımı yapılabilir. </w:t>
      </w:r>
    </w:p>
    <w:p w14:paraId="78431929" w14:textId="77777777" w:rsidR="009875C7" w:rsidRPr="006D214C" w:rsidRDefault="009875C7" w:rsidP="00B91F4C">
      <w:pPr>
        <w:pStyle w:val="Default"/>
        <w:jc w:val="both"/>
        <w:rPr>
          <w:sz w:val="22"/>
          <w:szCs w:val="22"/>
        </w:rPr>
      </w:pPr>
    </w:p>
    <w:p w14:paraId="2D8004DE" w14:textId="77777777" w:rsidR="00472DD3" w:rsidRPr="006D214C" w:rsidRDefault="00472DD3" w:rsidP="00B91F4C">
      <w:pPr>
        <w:pStyle w:val="Default"/>
        <w:jc w:val="both"/>
        <w:rPr>
          <w:sz w:val="22"/>
          <w:szCs w:val="22"/>
        </w:rPr>
      </w:pPr>
      <w:r w:rsidRPr="006D214C">
        <w:rPr>
          <w:b/>
          <w:bCs/>
          <w:sz w:val="22"/>
          <w:szCs w:val="22"/>
        </w:rPr>
        <w:t xml:space="preserve">4.3 İç Tetkikin Gerçekleştirilmesi </w:t>
      </w:r>
    </w:p>
    <w:p w14:paraId="23478A06" w14:textId="77777777" w:rsidR="00472DD3" w:rsidRPr="006D214C" w:rsidRDefault="00472DD3" w:rsidP="00B91F4C">
      <w:pPr>
        <w:pStyle w:val="Default"/>
        <w:jc w:val="both"/>
        <w:rPr>
          <w:sz w:val="22"/>
          <w:szCs w:val="22"/>
        </w:rPr>
      </w:pPr>
    </w:p>
    <w:p w14:paraId="0A86C5B3" w14:textId="77777777" w:rsidR="00472DD3" w:rsidRPr="006D214C" w:rsidRDefault="00472DD3" w:rsidP="00B91F4C">
      <w:pPr>
        <w:pStyle w:val="Default"/>
        <w:jc w:val="both"/>
        <w:rPr>
          <w:sz w:val="22"/>
          <w:szCs w:val="22"/>
        </w:rPr>
      </w:pPr>
      <w:r w:rsidRPr="006D214C">
        <w:rPr>
          <w:sz w:val="22"/>
          <w:szCs w:val="22"/>
        </w:rPr>
        <w:t xml:space="preserve">İç tetkik süreci 3 aşamadan oluşur. </w:t>
      </w:r>
    </w:p>
    <w:p w14:paraId="6F5B1C5F" w14:textId="41292B30" w:rsidR="00472DD3" w:rsidRPr="006D214C" w:rsidRDefault="00472DD3" w:rsidP="00B91F4C">
      <w:pPr>
        <w:pStyle w:val="Default"/>
        <w:jc w:val="both"/>
        <w:rPr>
          <w:sz w:val="22"/>
          <w:szCs w:val="22"/>
        </w:rPr>
      </w:pPr>
      <w:r w:rsidRPr="006D214C">
        <w:rPr>
          <w:b/>
          <w:bCs/>
          <w:sz w:val="22"/>
          <w:szCs w:val="22"/>
        </w:rPr>
        <w:t>Aşama 1</w:t>
      </w:r>
      <w:r w:rsidRPr="006D214C">
        <w:rPr>
          <w:sz w:val="22"/>
          <w:szCs w:val="22"/>
        </w:rPr>
        <w:t xml:space="preserve">: </w:t>
      </w:r>
    </w:p>
    <w:p w14:paraId="2F1881A6" w14:textId="4AF9CDC5" w:rsidR="00472DD3" w:rsidRPr="006D214C" w:rsidRDefault="00472DD3" w:rsidP="00B91F4C">
      <w:pPr>
        <w:jc w:val="both"/>
        <w:rPr>
          <w:rFonts w:ascii="Times New Roman" w:hAnsi="Times New Roman" w:cs="Times New Roman"/>
        </w:rPr>
      </w:pPr>
      <w:r w:rsidRPr="006D214C">
        <w:rPr>
          <w:rFonts w:ascii="Times New Roman" w:hAnsi="Times New Roman" w:cs="Times New Roman"/>
        </w:rPr>
        <w:t>Tetkike hazırlık aşamasıdır. Tetkik süresince kullanılması gereken dokümanlar, önceki tetkike ait bulgular ve raporların paylaşılması, tetkik planında mutabık kalınması, ilgili dokümanların tetkik ekibi tarafından incelenmesi konularını kapsar.</w:t>
      </w:r>
    </w:p>
    <w:p w14:paraId="34BC134E" w14:textId="77777777" w:rsidR="00BD47D0" w:rsidRPr="006D214C" w:rsidRDefault="00BD47D0" w:rsidP="00B91F4C">
      <w:pPr>
        <w:pStyle w:val="Default"/>
        <w:jc w:val="both"/>
        <w:rPr>
          <w:sz w:val="22"/>
          <w:szCs w:val="22"/>
        </w:rPr>
      </w:pPr>
      <w:r w:rsidRPr="006D214C">
        <w:rPr>
          <w:b/>
          <w:bCs/>
          <w:sz w:val="22"/>
          <w:szCs w:val="22"/>
        </w:rPr>
        <w:t>Aşama 2</w:t>
      </w:r>
      <w:r w:rsidRPr="006D214C">
        <w:rPr>
          <w:sz w:val="22"/>
          <w:szCs w:val="22"/>
        </w:rPr>
        <w:t xml:space="preserve">: </w:t>
      </w:r>
    </w:p>
    <w:p w14:paraId="2E3D5A9F" w14:textId="698F9EE8" w:rsidR="00BD47D0" w:rsidRPr="006D214C" w:rsidRDefault="009875C7" w:rsidP="00B91F4C">
      <w:pPr>
        <w:pStyle w:val="Default"/>
        <w:jc w:val="both"/>
        <w:rPr>
          <w:sz w:val="22"/>
          <w:szCs w:val="22"/>
        </w:rPr>
      </w:pPr>
      <w:r>
        <w:rPr>
          <w:sz w:val="22"/>
          <w:szCs w:val="22"/>
        </w:rPr>
        <w:t>Denetim</w:t>
      </w:r>
      <w:r w:rsidR="00BD47D0" w:rsidRPr="006D214C">
        <w:rPr>
          <w:sz w:val="22"/>
          <w:szCs w:val="22"/>
        </w:rPr>
        <w:t xml:space="preserve"> sürecidir. </w:t>
      </w:r>
      <w:r w:rsidR="00DE2183">
        <w:rPr>
          <w:sz w:val="22"/>
          <w:szCs w:val="22"/>
        </w:rPr>
        <w:t xml:space="preserve">Denetim </w:t>
      </w:r>
      <w:r w:rsidR="00BD47D0" w:rsidRPr="006D214C">
        <w:rPr>
          <w:sz w:val="22"/>
          <w:szCs w:val="22"/>
        </w:rPr>
        <w:t xml:space="preserve">açılış toplantısı, </w:t>
      </w:r>
      <w:r w:rsidR="00DE2183">
        <w:rPr>
          <w:sz w:val="22"/>
          <w:szCs w:val="22"/>
        </w:rPr>
        <w:t>denetimin yürütülmesi</w:t>
      </w:r>
      <w:r w:rsidR="00BD47D0" w:rsidRPr="006D214C">
        <w:rPr>
          <w:sz w:val="22"/>
          <w:szCs w:val="22"/>
        </w:rPr>
        <w:t xml:space="preserve">, varsa bulguların tespiti, bulgularda mutabık kalınması ve kapanış toplantısı aşamalarından oluşur. </w:t>
      </w:r>
    </w:p>
    <w:p w14:paraId="54706B55" w14:textId="77777777" w:rsidR="00CB013B" w:rsidRDefault="00BD47D0" w:rsidP="00B91F4C">
      <w:pPr>
        <w:pStyle w:val="Default"/>
        <w:jc w:val="both"/>
        <w:rPr>
          <w:sz w:val="22"/>
          <w:szCs w:val="22"/>
        </w:rPr>
      </w:pPr>
      <w:r w:rsidRPr="006D214C">
        <w:rPr>
          <w:sz w:val="22"/>
          <w:szCs w:val="22"/>
        </w:rPr>
        <w:t xml:space="preserve">Açılış toplantısı </w:t>
      </w:r>
      <w:r w:rsidR="009875C7">
        <w:rPr>
          <w:sz w:val="22"/>
          <w:szCs w:val="22"/>
        </w:rPr>
        <w:t>denetleme</w:t>
      </w:r>
      <w:r w:rsidRPr="006D214C">
        <w:rPr>
          <w:sz w:val="22"/>
          <w:szCs w:val="22"/>
        </w:rPr>
        <w:t xml:space="preserve"> ekibi ve denetlenecek birimin tanışması ile başlar. </w:t>
      </w:r>
      <w:r w:rsidR="009875C7">
        <w:rPr>
          <w:sz w:val="22"/>
          <w:szCs w:val="22"/>
        </w:rPr>
        <w:t>Denetleme</w:t>
      </w:r>
      <w:r w:rsidRPr="006D214C">
        <w:rPr>
          <w:sz w:val="22"/>
          <w:szCs w:val="22"/>
        </w:rPr>
        <w:t xml:space="preserve"> süresince elde edilen bilgilerin gizli tutulacağına ilişkin taahhüt verilir. </w:t>
      </w:r>
      <w:r w:rsidR="009875C7">
        <w:rPr>
          <w:sz w:val="22"/>
          <w:szCs w:val="22"/>
        </w:rPr>
        <w:t>Denetlemenin</w:t>
      </w:r>
      <w:r w:rsidRPr="006D214C">
        <w:rPr>
          <w:sz w:val="22"/>
          <w:szCs w:val="22"/>
        </w:rPr>
        <w:t xml:space="preserve"> kimlerle yürütüleceği belirlenir. Denetim planı konusunda mutabık kalınır</w:t>
      </w:r>
      <w:r w:rsidR="009875C7">
        <w:rPr>
          <w:sz w:val="22"/>
          <w:szCs w:val="22"/>
        </w:rPr>
        <w:t xml:space="preserve">. </w:t>
      </w:r>
    </w:p>
    <w:p w14:paraId="5F41FED5" w14:textId="77D273C5" w:rsidR="00DE2183" w:rsidRDefault="00BD47D0" w:rsidP="00B91F4C">
      <w:pPr>
        <w:pStyle w:val="Default"/>
        <w:jc w:val="both"/>
        <w:rPr>
          <w:sz w:val="22"/>
          <w:szCs w:val="22"/>
        </w:rPr>
      </w:pPr>
      <w:r w:rsidRPr="006D214C">
        <w:rPr>
          <w:sz w:val="22"/>
          <w:szCs w:val="22"/>
        </w:rPr>
        <w:t xml:space="preserve">Tespit edilen bulguların </w:t>
      </w:r>
      <w:r w:rsidR="00DE2183">
        <w:rPr>
          <w:sz w:val="22"/>
          <w:szCs w:val="22"/>
        </w:rPr>
        <w:t>denetleme</w:t>
      </w:r>
      <w:r w:rsidRPr="006D214C">
        <w:rPr>
          <w:sz w:val="22"/>
          <w:szCs w:val="22"/>
        </w:rPr>
        <w:t xml:space="preserve"> süresince denetlenen taraf ile paylaşılması ve bulguların açıklığı esastır. </w:t>
      </w:r>
      <w:r w:rsidR="00DE2183">
        <w:rPr>
          <w:sz w:val="22"/>
          <w:szCs w:val="22"/>
        </w:rPr>
        <w:t xml:space="preserve">İlgili denetim sonuçları Esas’a işlenerek birime özel duruma göre “tam entegre, yönetiliyor, kapsam dışı, bilinmiyor, gözlem, uygunsuz minör, uygunsuz majör” seçeneklerinden biri seçilir. </w:t>
      </w:r>
    </w:p>
    <w:p w14:paraId="7484389B" w14:textId="5E8C4C81" w:rsidR="00CB013B" w:rsidRDefault="00DE2183" w:rsidP="00B91F4C">
      <w:pPr>
        <w:pStyle w:val="Default"/>
        <w:jc w:val="both"/>
        <w:rPr>
          <w:sz w:val="22"/>
          <w:szCs w:val="22"/>
        </w:rPr>
      </w:pPr>
      <w:r>
        <w:rPr>
          <w:sz w:val="22"/>
          <w:szCs w:val="22"/>
        </w:rPr>
        <w:t xml:space="preserve"> </w:t>
      </w:r>
      <w:r w:rsidR="00BD47D0" w:rsidRPr="006D214C">
        <w:rPr>
          <w:sz w:val="22"/>
          <w:szCs w:val="22"/>
        </w:rPr>
        <w:t xml:space="preserve">Standardın herhangi bir maddesine yönelik temel uygulamaların gerçekleştirilmiyor olması </w:t>
      </w:r>
      <w:r w:rsidR="00CB013B">
        <w:rPr>
          <w:sz w:val="22"/>
          <w:szCs w:val="22"/>
        </w:rPr>
        <w:t>majör</w:t>
      </w:r>
      <w:r w:rsidR="00BD47D0" w:rsidRPr="006D214C">
        <w:rPr>
          <w:sz w:val="22"/>
          <w:szCs w:val="22"/>
        </w:rPr>
        <w:t xml:space="preserve"> uygunsuzluk, uygulamaların bir kısmında eksiklikler tespit edilmesi hâli ise </w:t>
      </w:r>
      <w:r w:rsidR="00CB013B">
        <w:rPr>
          <w:sz w:val="22"/>
          <w:szCs w:val="22"/>
        </w:rPr>
        <w:t>minör</w:t>
      </w:r>
      <w:r w:rsidR="00BD47D0" w:rsidRPr="006D214C">
        <w:rPr>
          <w:sz w:val="22"/>
          <w:szCs w:val="22"/>
        </w:rPr>
        <w:t xml:space="preserve"> uygunsuzluk olarak sınıflandırılır. </w:t>
      </w:r>
      <w:r w:rsidR="00CB013B">
        <w:rPr>
          <w:sz w:val="22"/>
          <w:szCs w:val="22"/>
        </w:rPr>
        <w:t xml:space="preserve">Diğer seçenekler kabul edilebilir olarak sınıflandırılmaktadır. Uygunsuzluk bulunan kriterler için iç denetçi </w:t>
      </w:r>
      <w:r w:rsidR="007A091A">
        <w:rPr>
          <w:sz w:val="22"/>
          <w:szCs w:val="22"/>
        </w:rPr>
        <w:t xml:space="preserve">tarafından DÖF önerisi </w:t>
      </w:r>
      <w:r w:rsidR="00CB013B">
        <w:rPr>
          <w:sz w:val="22"/>
          <w:szCs w:val="22"/>
        </w:rPr>
        <w:t>Kalite Komisyonu</w:t>
      </w:r>
      <w:r w:rsidR="007A091A">
        <w:rPr>
          <w:sz w:val="22"/>
          <w:szCs w:val="22"/>
        </w:rPr>
        <w:t xml:space="preserve">na sunulur. Kabul gören DÖF Kalite Komisyonu tarafından </w:t>
      </w:r>
      <w:r w:rsidR="00CB013B">
        <w:rPr>
          <w:sz w:val="22"/>
          <w:szCs w:val="22"/>
        </w:rPr>
        <w:t xml:space="preserve">DÖF açılması gerekmektedir. </w:t>
      </w:r>
      <w:r w:rsidR="00BD47D0" w:rsidRPr="006D214C">
        <w:rPr>
          <w:sz w:val="22"/>
          <w:szCs w:val="22"/>
        </w:rPr>
        <w:t>Bulgular objektif delillerle kayıt altına alınır</w:t>
      </w:r>
      <w:r w:rsidR="00CB013B">
        <w:rPr>
          <w:sz w:val="22"/>
          <w:szCs w:val="22"/>
        </w:rPr>
        <w:t xml:space="preserve"> ve </w:t>
      </w:r>
      <w:proofErr w:type="spellStart"/>
      <w:r w:rsidR="00CB013B">
        <w:rPr>
          <w:sz w:val="22"/>
          <w:szCs w:val="22"/>
        </w:rPr>
        <w:t>ESAS’a</w:t>
      </w:r>
      <w:proofErr w:type="spellEnd"/>
      <w:r w:rsidR="00CB013B">
        <w:rPr>
          <w:sz w:val="22"/>
          <w:szCs w:val="22"/>
        </w:rPr>
        <w:t xml:space="preserve"> işlenerek rapor haline getirilir.</w:t>
      </w:r>
      <w:r w:rsidR="00BD47D0" w:rsidRPr="006D214C">
        <w:rPr>
          <w:sz w:val="22"/>
          <w:szCs w:val="22"/>
        </w:rPr>
        <w:t xml:space="preserve"> </w:t>
      </w:r>
    </w:p>
    <w:p w14:paraId="4E771ACB" w14:textId="3A18D13C" w:rsidR="00BD47D0" w:rsidRPr="006D214C" w:rsidRDefault="00BD47D0" w:rsidP="00B91F4C">
      <w:pPr>
        <w:pStyle w:val="Default"/>
        <w:jc w:val="both"/>
        <w:rPr>
          <w:sz w:val="22"/>
          <w:szCs w:val="22"/>
        </w:rPr>
      </w:pPr>
      <w:r w:rsidRPr="00764F9F">
        <w:rPr>
          <w:sz w:val="22"/>
          <w:szCs w:val="22"/>
        </w:rPr>
        <w:t>Kapanış toplantısı birimin güçlü yönlerinin vurgulanması ile başlar. Bulgular ve iyileştirmeye açık alanlar birimle paylaşılır. Tespit edilen uygunsuzluklara ilişkin süreç</w:t>
      </w:r>
      <w:r w:rsidRPr="006D214C">
        <w:rPr>
          <w:sz w:val="22"/>
          <w:szCs w:val="22"/>
        </w:rPr>
        <w:t xml:space="preserve"> birimle paylaşılır. </w:t>
      </w:r>
      <w:r w:rsidR="002163F1">
        <w:rPr>
          <w:sz w:val="22"/>
          <w:szCs w:val="22"/>
        </w:rPr>
        <w:t>Denetleme</w:t>
      </w:r>
      <w:r w:rsidRPr="006D214C">
        <w:rPr>
          <w:sz w:val="22"/>
          <w:szCs w:val="22"/>
        </w:rPr>
        <w:t xml:space="preserve"> kanıtı veya bulgularıyla ilgili oluşabilecek her türlü farklı görüşün çözülmesine yönelik girişimler </w:t>
      </w:r>
      <w:r w:rsidR="002163F1">
        <w:rPr>
          <w:sz w:val="22"/>
          <w:szCs w:val="22"/>
        </w:rPr>
        <w:t>denetim</w:t>
      </w:r>
      <w:r w:rsidRPr="006D214C">
        <w:rPr>
          <w:sz w:val="22"/>
          <w:szCs w:val="22"/>
        </w:rPr>
        <w:t xml:space="preserve"> süresince yapılır ve çözülemeyen hususlar kaydedilerek ilgili taraflarca Kalite Ko</w:t>
      </w:r>
      <w:r w:rsidR="002163F1">
        <w:rPr>
          <w:sz w:val="22"/>
          <w:szCs w:val="22"/>
        </w:rPr>
        <w:t>misyonu Başkanlığına</w:t>
      </w:r>
      <w:r w:rsidRPr="006D214C">
        <w:rPr>
          <w:sz w:val="22"/>
          <w:szCs w:val="22"/>
        </w:rPr>
        <w:t xml:space="preserve"> iletilir. </w:t>
      </w:r>
    </w:p>
    <w:p w14:paraId="4A4BC5D2" w14:textId="77777777" w:rsidR="00BD47D0" w:rsidRPr="006D214C" w:rsidRDefault="00BD47D0" w:rsidP="00B91F4C">
      <w:pPr>
        <w:pStyle w:val="Default"/>
        <w:jc w:val="both"/>
        <w:rPr>
          <w:sz w:val="22"/>
          <w:szCs w:val="22"/>
        </w:rPr>
      </w:pPr>
      <w:r w:rsidRPr="006D214C">
        <w:rPr>
          <w:b/>
          <w:bCs/>
          <w:sz w:val="22"/>
          <w:szCs w:val="22"/>
        </w:rPr>
        <w:t>Aşama 3</w:t>
      </w:r>
      <w:r w:rsidRPr="006D214C">
        <w:rPr>
          <w:sz w:val="22"/>
          <w:szCs w:val="22"/>
        </w:rPr>
        <w:t xml:space="preserve">: </w:t>
      </w:r>
    </w:p>
    <w:p w14:paraId="3BB0EF7B" w14:textId="67CB4E39" w:rsidR="00C7637F" w:rsidRDefault="002163F1" w:rsidP="00B91F4C">
      <w:pPr>
        <w:pStyle w:val="Default"/>
        <w:jc w:val="both"/>
        <w:rPr>
          <w:sz w:val="22"/>
          <w:szCs w:val="22"/>
        </w:rPr>
      </w:pPr>
      <w:r>
        <w:rPr>
          <w:sz w:val="22"/>
          <w:szCs w:val="22"/>
        </w:rPr>
        <w:t>Denetleme</w:t>
      </w:r>
      <w:r w:rsidR="00BD47D0" w:rsidRPr="006D214C">
        <w:rPr>
          <w:sz w:val="22"/>
          <w:szCs w:val="22"/>
        </w:rPr>
        <w:t xml:space="preserve"> sonrası faaliyetleri içerir. </w:t>
      </w:r>
      <w:r>
        <w:rPr>
          <w:sz w:val="22"/>
          <w:szCs w:val="22"/>
        </w:rPr>
        <w:t xml:space="preserve">Denetleme </w:t>
      </w:r>
      <w:r w:rsidR="00CB013B">
        <w:rPr>
          <w:sz w:val="22"/>
          <w:szCs w:val="22"/>
        </w:rPr>
        <w:t>raporu ESAS üzerinden doldurularak kayıt altına alınır ve ıslak imzalı olarak EBYS üzerinden Kalite Komisyonu Başkanlığına iletilir.</w:t>
      </w:r>
      <w:r w:rsidR="007A091A">
        <w:rPr>
          <w:sz w:val="22"/>
          <w:szCs w:val="22"/>
        </w:rPr>
        <w:t xml:space="preserve"> </w:t>
      </w:r>
      <w:r w:rsidR="00BD47D0" w:rsidRPr="006D214C">
        <w:rPr>
          <w:sz w:val="22"/>
          <w:szCs w:val="22"/>
        </w:rPr>
        <w:t>Düzeltme gerektiren bulgular için yapılacak faaliyetler ve/veya yapıla</w:t>
      </w:r>
      <w:r w:rsidR="007A091A">
        <w:rPr>
          <w:sz w:val="22"/>
          <w:szCs w:val="22"/>
        </w:rPr>
        <w:t xml:space="preserve">caklar için YGG toplantısı düzenlenebilir veya Kalite Komisyonu tarafından değerlendirilir. </w:t>
      </w:r>
      <w:r w:rsidR="00BD47D0" w:rsidRPr="006D214C">
        <w:rPr>
          <w:sz w:val="22"/>
          <w:szCs w:val="22"/>
        </w:rPr>
        <w:t>Düzeltici faaliyet gerektiren uygunsuzluklar için kök sebep analizinin ardından bulgunun niteliğine göre süre belirlenir. Uygunsuzluğu tespit ed</w:t>
      </w:r>
      <w:r w:rsidR="007A091A">
        <w:rPr>
          <w:sz w:val="22"/>
          <w:szCs w:val="22"/>
        </w:rPr>
        <w:t xml:space="preserve">en iç denetçi tarafından en geç bir hafta içinde DÖF önerisi </w:t>
      </w:r>
      <w:r>
        <w:rPr>
          <w:sz w:val="22"/>
          <w:szCs w:val="22"/>
        </w:rPr>
        <w:t>Kalite Komisyonu Başkanlığı</w:t>
      </w:r>
      <w:r w:rsidR="007A091A">
        <w:rPr>
          <w:sz w:val="22"/>
          <w:szCs w:val="22"/>
        </w:rPr>
        <w:t xml:space="preserve">na yapılır. Kalite Komisyonunca uygun görülen DÖF faaliyeti yürütecek birim/birimlere yönlendirilir. Bütün süreç ESAS üzerinden yürütülür. </w:t>
      </w:r>
    </w:p>
    <w:p w14:paraId="57F0EE97" w14:textId="745944E8" w:rsidR="00BD47D0" w:rsidRPr="006D214C" w:rsidRDefault="00BD47D0" w:rsidP="00B91F4C">
      <w:pPr>
        <w:pStyle w:val="Default"/>
        <w:jc w:val="both"/>
        <w:rPr>
          <w:sz w:val="22"/>
          <w:szCs w:val="22"/>
        </w:rPr>
      </w:pPr>
      <w:r w:rsidRPr="006D214C">
        <w:rPr>
          <w:sz w:val="22"/>
          <w:szCs w:val="22"/>
        </w:rPr>
        <w:t xml:space="preserve">Düzeltici faaliyete ilişkin kayıtlar </w:t>
      </w:r>
      <w:r w:rsidR="007A091A">
        <w:rPr>
          <w:sz w:val="22"/>
          <w:szCs w:val="22"/>
        </w:rPr>
        <w:t xml:space="preserve">görev verilen birimler tarafından </w:t>
      </w:r>
      <w:proofErr w:type="spellStart"/>
      <w:r w:rsidR="007A091A">
        <w:rPr>
          <w:sz w:val="22"/>
          <w:szCs w:val="22"/>
        </w:rPr>
        <w:t>ESAS’a</w:t>
      </w:r>
      <w:proofErr w:type="spellEnd"/>
      <w:r w:rsidR="007A091A">
        <w:rPr>
          <w:sz w:val="22"/>
          <w:szCs w:val="22"/>
        </w:rPr>
        <w:t xml:space="preserve"> kayıt edilir.</w:t>
      </w:r>
      <w:r w:rsidRPr="006D214C">
        <w:rPr>
          <w:sz w:val="22"/>
          <w:szCs w:val="22"/>
        </w:rPr>
        <w:t xml:space="preserve"> </w:t>
      </w:r>
      <w:r w:rsidR="007A091A">
        <w:rPr>
          <w:sz w:val="22"/>
          <w:szCs w:val="22"/>
        </w:rPr>
        <w:t>İç denetçiler tarafından önerilen kabul görmüş DÖF sonuçları ESAS üzerinden ilgili iç denetçiye sunulur.</w:t>
      </w:r>
      <w:r w:rsidRPr="006D214C">
        <w:rPr>
          <w:sz w:val="22"/>
          <w:szCs w:val="22"/>
        </w:rPr>
        <w:t xml:space="preserve"> </w:t>
      </w:r>
    </w:p>
    <w:p w14:paraId="2B67273B" w14:textId="77777777" w:rsidR="000A007D" w:rsidRPr="006D214C" w:rsidRDefault="000A007D" w:rsidP="00B91F4C">
      <w:pPr>
        <w:pStyle w:val="Default"/>
        <w:jc w:val="both"/>
        <w:rPr>
          <w:sz w:val="22"/>
          <w:szCs w:val="22"/>
        </w:rPr>
      </w:pPr>
    </w:p>
    <w:p w14:paraId="3C5A880E" w14:textId="77777777" w:rsidR="00BD47D0" w:rsidRPr="006D214C" w:rsidRDefault="00BD47D0" w:rsidP="00B91F4C">
      <w:pPr>
        <w:pStyle w:val="Default"/>
        <w:jc w:val="both"/>
        <w:rPr>
          <w:sz w:val="22"/>
          <w:szCs w:val="22"/>
        </w:rPr>
      </w:pPr>
      <w:r w:rsidRPr="006D214C">
        <w:rPr>
          <w:b/>
          <w:bCs/>
          <w:sz w:val="22"/>
          <w:szCs w:val="22"/>
        </w:rPr>
        <w:t xml:space="preserve">5. İLGİLİ DOKÜMANLAR </w:t>
      </w:r>
    </w:p>
    <w:p w14:paraId="03BB8CAA" w14:textId="77777777" w:rsidR="00BC2C8B" w:rsidRDefault="00BC2C8B" w:rsidP="00B91F4C">
      <w:pPr>
        <w:pStyle w:val="Default"/>
        <w:jc w:val="both"/>
        <w:rPr>
          <w:sz w:val="22"/>
          <w:szCs w:val="22"/>
        </w:rPr>
      </w:pPr>
      <w:r>
        <w:rPr>
          <w:sz w:val="22"/>
          <w:szCs w:val="22"/>
        </w:rPr>
        <w:t>TS EN ISO 9001:2015</w:t>
      </w:r>
    </w:p>
    <w:p w14:paraId="3E8DE2D5" w14:textId="54D7C61F" w:rsidR="00BC2C8B" w:rsidRDefault="00BC2C8B" w:rsidP="00B91F4C">
      <w:pPr>
        <w:pStyle w:val="Default"/>
        <w:jc w:val="both"/>
        <w:rPr>
          <w:sz w:val="22"/>
          <w:szCs w:val="22"/>
        </w:rPr>
      </w:pPr>
      <w:r>
        <w:rPr>
          <w:sz w:val="22"/>
          <w:szCs w:val="22"/>
        </w:rPr>
        <w:t>TS EN ISO 14001:2015</w:t>
      </w:r>
    </w:p>
    <w:p w14:paraId="5F497D67" w14:textId="32B7EBA4" w:rsidR="00BC2C8B" w:rsidRDefault="00BC2C8B" w:rsidP="00B91F4C">
      <w:pPr>
        <w:pStyle w:val="Default"/>
        <w:jc w:val="both"/>
        <w:rPr>
          <w:sz w:val="22"/>
          <w:szCs w:val="22"/>
        </w:rPr>
      </w:pPr>
      <w:r>
        <w:rPr>
          <w:sz w:val="22"/>
          <w:szCs w:val="22"/>
        </w:rPr>
        <w:t>TS EN ISO 27001:2013</w:t>
      </w:r>
    </w:p>
    <w:p w14:paraId="19D02E40" w14:textId="599287F2" w:rsidR="00BD47D0" w:rsidRPr="006D214C" w:rsidRDefault="00BD47D0" w:rsidP="00764F9F">
      <w:pPr>
        <w:pStyle w:val="Default"/>
        <w:jc w:val="both"/>
      </w:pPr>
      <w:r w:rsidRPr="006D214C">
        <w:rPr>
          <w:sz w:val="22"/>
          <w:szCs w:val="22"/>
        </w:rPr>
        <w:t xml:space="preserve">TS EN ISO </w:t>
      </w:r>
      <w:r w:rsidR="00BC2C8B">
        <w:rPr>
          <w:sz w:val="22"/>
          <w:szCs w:val="22"/>
        </w:rPr>
        <w:t>45001</w:t>
      </w:r>
      <w:r w:rsidRPr="006D214C">
        <w:rPr>
          <w:sz w:val="22"/>
          <w:szCs w:val="22"/>
        </w:rPr>
        <w:t>:201</w:t>
      </w:r>
      <w:r w:rsidR="00BC2C8B">
        <w:rPr>
          <w:sz w:val="22"/>
          <w:szCs w:val="22"/>
        </w:rPr>
        <w:t>8</w:t>
      </w:r>
      <w:r w:rsidRPr="006D214C">
        <w:rPr>
          <w:sz w:val="22"/>
          <w:szCs w:val="22"/>
        </w:rPr>
        <w:t xml:space="preserve"> </w:t>
      </w:r>
    </w:p>
    <w:sectPr w:rsidR="00BD47D0" w:rsidRPr="006D214C" w:rsidSect="005A245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E35A6" w14:textId="77777777" w:rsidR="006F50DF" w:rsidRDefault="006F50DF" w:rsidP="00DE1356">
      <w:pPr>
        <w:spacing w:after="0" w:line="240" w:lineRule="auto"/>
      </w:pPr>
      <w:r>
        <w:separator/>
      </w:r>
    </w:p>
  </w:endnote>
  <w:endnote w:type="continuationSeparator" w:id="0">
    <w:p w14:paraId="651067FA" w14:textId="77777777" w:rsidR="006F50DF" w:rsidRDefault="006F50DF" w:rsidP="00DE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F7560" w14:textId="77777777" w:rsidR="00647330" w:rsidRDefault="006473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B017" w14:textId="77777777" w:rsidR="00647330" w:rsidRDefault="0064733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FF5A2" w14:textId="77777777" w:rsidR="00647330" w:rsidRDefault="006473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C9AC0" w14:textId="77777777" w:rsidR="006F50DF" w:rsidRDefault="006F50DF" w:rsidP="00DE1356">
      <w:pPr>
        <w:spacing w:after="0" w:line="240" w:lineRule="auto"/>
      </w:pPr>
      <w:r>
        <w:separator/>
      </w:r>
    </w:p>
  </w:footnote>
  <w:footnote w:type="continuationSeparator" w:id="0">
    <w:p w14:paraId="155CAD7F" w14:textId="77777777" w:rsidR="006F50DF" w:rsidRDefault="006F50DF" w:rsidP="00DE1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62F83" w14:textId="77777777" w:rsidR="00647330" w:rsidRDefault="006473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E29A" w14:textId="77777777" w:rsidR="00647330" w:rsidRDefault="0064733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714" w:type="dxa"/>
      <w:tblLayout w:type="fixed"/>
      <w:tblLook w:val="04A0" w:firstRow="1" w:lastRow="0" w:firstColumn="1" w:lastColumn="0" w:noHBand="0" w:noVBand="1"/>
    </w:tblPr>
    <w:tblGrid>
      <w:gridCol w:w="1702"/>
      <w:gridCol w:w="4327"/>
      <w:gridCol w:w="2159"/>
      <w:gridCol w:w="1526"/>
    </w:tblGrid>
    <w:tr w:rsidR="005A2458" w:rsidRPr="005A2458" w14:paraId="23E551E1" w14:textId="77777777" w:rsidTr="001F699F">
      <w:trPr>
        <w:trHeight w:val="284"/>
      </w:trPr>
      <w:tc>
        <w:tcPr>
          <w:tcW w:w="1702" w:type="dxa"/>
          <w:vMerge w:val="restart"/>
          <w:vAlign w:val="center"/>
        </w:tcPr>
        <w:p w14:paraId="465046E3" w14:textId="77777777" w:rsidR="005A2458" w:rsidRPr="003F363A" w:rsidRDefault="005A2458" w:rsidP="005A2458">
          <w:pPr>
            <w:jc w:val="center"/>
            <w:rPr>
              <w:rFonts w:ascii="Times New Roman" w:eastAsia="Times New Roman" w:hAnsi="Times New Roman" w:cs="Times New Roman"/>
              <w:b/>
              <w:bCs/>
              <w:sz w:val="32"/>
              <w:szCs w:val="32"/>
              <w:lang w:eastAsia="tr-TR"/>
            </w:rPr>
          </w:pPr>
          <w:r w:rsidRPr="003F363A">
            <w:rPr>
              <w:rFonts w:ascii="Times New Roman" w:hAnsi="Times New Roman" w:cs="Times New Roman"/>
              <w:noProof/>
              <w:lang w:eastAsia="tr-TR"/>
            </w:rPr>
            <w:drawing>
              <wp:inline distT="0" distB="0" distL="0" distR="0" wp14:anchorId="097929DD" wp14:editId="0847C23B">
                <wp:extent cx="842211" cy="842211"/>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4327" w:type="dxa"/>
          <w:vMerge w:val="restart"/>
          <w:vAlign w:val="center"/>
        </w:tcPr>
        <w:p w14:paraId="10BC4F74" w14:textId="77777777" w:rsidR="005A2458" w:rsidRDefault="005A2458" w:rsidP="005A2458">
          <w:pPr>
            <w:jc w:val="center"/>
            <w:rPr>
              <w:rFonts w:ascii="Times New Roman" w:eastAsia="Times New Roman" w:hAnsi="Times New Roman" w:cs="Times New Roman"/>
              <w:b/>
              <w:bCs/>
              <w:sz w:val="28"/>
              <w:szCs w:val="32"/>
              <w:lang w:eastAsia="tr-TR"/>
            </w:rPr>
          </w:pPr>
          <w:r w:rsidRPr="00764F9F">
            <w:rPr>
              <w:rFonts w:ascii="Times New Roman" w:eastAsia="Times New Roman" w:hAnsi="Times New Roman" w:cs="Times New Roman"/>
              <w:b/>
              <w:bCs/>
              <w:sz w:val="28"/>
              <w:szCs w:val="32"/>
              <w:lang w:eastAsia="tr-TR"/>
            </w:rPr>
            <w:t>TE</w:t>
          </w:r>
          <w:r>
            <w:rPr>
              <w:rFonts w:ascii="Times New Roman" w:eastAsia="Times New Roman" w:hAnsi="Times New Roman" w:cs="Times New Roman"/>
              <w:b/>
              <w:bCs/>
              <w:sz w:val="28"/>
              <w:szCs w:val="32"/>
              <w:lang w:eastAsia="tr-TR"/>
            </w:rPr>
            <w:t>KİRDAĞ NAMIK KEMAL ÜNİVERSİTESİ</w:t>
          </w:r>
        </w:p>
        <w:p w14:paraId="2340D894" w14:textId="77777777" w:rsidR="005A2458" w:rsidRPr="003F363A" w:rsidRDefault="005A2458" w:rsidP="005A2458">
          <w:pPr>
            <w:jc w:val="center"/>
            <w:rPr>
              <w:rFonts w:ascii="Times New Roman" w:eastAsia="Times New Roman" w:hAnsi="Times New Roman" w:cs="Times New Roman"/>
              <w:lang w:eastAsia="tr-TR"/>
            </w:rPr>
          </w:pPr>
          <w:r>
            <w:rPr>
              <w:rFonts w:ascii="Times New Roman" w:eastAsia="Times New Roman" w:hAnsi="Times New Roman" w:cs="Times New Roman"/>
              <w:b/>
              <w:bCs/>
              <w:sz w:val="32"/>
              <w:szCs w:val="32"/>
              <w:lang w:eastAsia="tr-TR"/>
            </w:rPr>
            <w:t>İç Denetleme Prosedürü</w:t>
          </w:r>
        </w:p>
      </w:tc>
      <w:tc>
        <w:tcPr>
          <w:tcW w:w="2159" w:type="dxa"/>
          <w:vAlign w:val="center"/>
        </w:tcPr>
        <w:p w14:paraId="09C16B87"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 xml:space="preserve">Doküman No: </w:t>
          </w:r>
        </w:p>
      </w:tc>
      <w:tc>
        <w:tcPr>
          <w:tcW w:w="1526" w:type="dxa"/>
          <w:vAlign w:val="center"/>
        </w:tcPr>
        <w:p w14:paraId="5C46D1A3"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EYS-PR-041</w:t>
          </w:r>
        </w:p>
      </w:tc>
    </w:tr>
    <w:tr w:rsidR="005A2458" w:rsidRPr="005A2458" w14:paraId="694772BA" w14:textId="77777777" w:rsidTr="001F699F">
      <w:trPr>
        <w:trHeight w:val="284"/>
      </w:trPr>
      <w:tc>
        <w:tcPr>
          <w:tcW w:w="1702" w:type="dxa"/>
          <w:vMerge/>
        </w:tcPr>
        <w:p w14:paraId="2F82DB4A" w14:textId="77777777" w:rsidR="005A2458" w:rsidRPr="003F363A" w:rsidRDefault="005A2458" w:rsidP="005A2458">
          <w:pPr>
            <w:jc w:val="center"/>
            <w:rPr>
              <w:rFonts w:ascii="Times New Roman" w:eastAsia="Times New Roman" w:hAnsi="Times New Roman" w:cs="Times New Roman"/>
              <w:b/>
              <w:bCs/>
              <w:sz w:val="32"/>
              <w:szCs w:val="32"/>
              <w:lang w:eastAsia="tr-TR"/>
            </w:rPr>
          </w:pPr>
        </w:p>
      </w:tc>
      <w:tc>
        <w:tcPr>
          <w:tcW w:w="4327" w:type="dxa"/>
          <w:vMerge/>
        </w:tcPr>
        <w:p w14:paraId="4A23625A" w14:textId="77777777" w:rsidR="005A2458" w:rsidRPr="003F363A" w:rsidRDefault="005A2458" w:rsidP="005A2458">
          <w:pPr>
            <w:rPr>
              <w:rFonts w:ascii="Times New Roman" w:eastAsia="Times New Roman" w:hAnsi="Times New Roman" w:cs="Times New Roman"/>
              <w:lang w:eastAsia="tr-TR"/>
            </w:rPr>
          </w:pPr>
        </w:p>
      </w:tc>
      <w:tc>
        <w:tcPr>
          <w:tcW w:w="2159" w:type="dxa"/>
          <w:vAlign w:val="center"/>
        </w:tcPr>
        <w:p w14:paraId="4A80E093"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Hazırlama Tarihi:</w:t>
          </w:r>
        </w:p>
      </w:tc>
      <w:tc>
        <w:tcPr>
          <w:tcW w:w="1526" w:type="dxa"/>
          <w:vAlign w:val="center"/>
        </w:tcPr>
        <w:p w14:paraId="4D3444FD"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12.11.2021</w:t>
          </w:r>
        </w:p>
      </w:tc>
    </w:tr>
    <w:tr w:rsidR="005A2458" w:rsidRPr="005A2458" w14:paraId="5EC302AC" w14:textId="77777777" w:rsidTr="001F699F">
      <w:trPr>
        <w:trHeight w:val="284"/>
      </w:trPr>
      <w:tc>
        <w:tcPr>
          <w:tcW w:w="1702" w:type="dxa"/>
          <w:vMerge/>
        </w:tcPr>
        <w:p w14:paraId="75093B15" w14:textId="77777777" w:rsidR="005A2458" w:rsidRPr="003F363A" w:rsidRDefault="005A2458" w:rsidP="005A2458">
          <w:pPr>
            <w:jc w:val="center"/>
            <w:rPr>
              <w:rFonts w:ascii="Times New Roman" w:eastAsia="Times New Roman" w:hAnsi="Times New Roman" w:cs="Times New Roman"/>
              <w:b/>
              <w:bCs/>
              <w:sz w:val="32"/>
              <w:szCs w:val="32"/>
              <w:lang w:eastAsia="tr-TR"/>
            </w:rPr>
          </w:pPr>
        </w:p>
      </w:tc>
      <w:tc>
        <w:tcPr>
          <w:tcW w:w="4327" w:type="dxa"/>
          <w:vMerge/>
        </w:tcPr>
        <w:p w14:paraId="7E2C9BF2" w14:textId="77777777" w:rsidR="005A2458" w:rsidRPr="003F363A" w:rsidRDefault="005A2458" w:rsidP="005A2458">
          <w:pPr>
            <w:rPr>
              <w:rFonts w:ascii="Times New Roman" w:eastAsia="Times New Roman" w:hAnsi="Times New Roman" w:cs="Times New Roman"/>
              <w:lang w:eastAsia="tr-TR"/>
            </w:rPr>
          </w:pPr>
        </w:p>
      </w:tc>
      <w:tc>
        <w:tcPr>
          <w:tcW w:w="2159" w:type="dxa"/>
          <w:vAlign w:val="center"/>
        </w:tcPr>
        <w:p w14:paraId="106794EB"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Revizyon Tarihi:</w:t>
          </w:r>
        </w:p>
      </w:tc>
      <w:tc>
        <w:tcPr>
          <w:tcW w:w="1526" w:type="dxa"/>
          <w:vAlign w:val="center"/>
        </w:tcPr>
        <w:p w14:paraId="70C8B48A"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14.01.2022</w:t>
          </w:r>
        </w:p>
      </w:tc>
    </w:tr>
    <w:tr w:rsidR="005A2458" w:rsidRPr="005A2458" w14:paraId="7430F9B1" w14:textId="77777777" w:rsidTr="001F699F">
      <w:trPr>
        <w:trHeight w:val="284"/>
      </w:trPr>
      <w:tc>
        <w:tcPr>
          <w:tcW w:w="1702" w:type="dxa"/>
          <w:vMerge/>
        </w:tcPr>
        <w:p w14:paraId="7A4A7A17" w14:textId="77777777" w:rsidR="005A2458" w:rsidRPr="003F363A" w:rsidRDefault="005A2458" w:rsidP="005A2458">
          <w:pPr>
            <w:jc w:val="center"/>
            <w:rPr>
              <w:rFonts w:ascii="Times New Roman" w:eastAsia="Times New Roman" w:hAnsi="Times New Roman" w:cs="Times New Roman"/>
              <w:b/>
              <w:bCs/>
              <w:sz w:val="32"/>
              <w:szCs w:val="32"/>
              <w:lang w:eastAsia="tr-TR"/>
            </w:rPr>
          </w:pPr>
        </w:p>
      </w:tc>
      <w:tc>
        <w:tcPr>
          <w:tcW w:w="4327" w:type="dxa"/>
          <w:vMerge/>
        </w:tcPr>
        <w:p w14:paraId="163ABCFE" w14:textId="77777777" w:rsidR="005A2458" w:rsidRPr="003F363A" w:rsidRDefault="005A2458" w:rsidP="005A2458">
          <w:pPr>
            <w:rPr>
              <w:rFonts w:ascii="Times New Roman" w:eastAsia="Times New Roman" w:hAnsi="Times New Roman" w:cs="Times New Roman"/>
              <w:lang w:eastAsia="tr-TR"/>
            </w:rPr>
          </w:pPr>
        </w:p>
      </w:tc>
      <w:tc>
        <w:tcPr>
          <w:tcW w:w="2159" w:type="dxa"/>
          <w:vAlign w:val="center"/>
        </w:tcPr>
        <w:p w14:paraId="667120D5"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Revizyon No:</w:t>
          </w:r>
        </w:p>
      </w:tc>
      <w:tc>
        <w:tcPr>
          <w:tcW w:w="1526" w:type="dxa"/>
          <w:vAlign w:val="center"/>
        </w:tcPr>
        <w:p w14:paraId="1D056CF0" w14:textId="3A49EB3F"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0</w:t>
          </w:r>
          <w:r w:rsidR="00647330">
            <w:rPr>
              <w:rFonts w:ascii="Times New Roman" w:eastAsia="Times New Roman" w:hAnsi="Times New Roman" w:cs="Times New Roman"/>
              <w:lang w:eastAsia="tr-TR"/>
            </w:rPr>
            <w:t>2</w:t>
          </w:r>
        </w:p>
      </w:tc>
    </w:tr>
    <w:tr w:rsidR="005A2458" w:rsidRPr="005A2458" w14:paraId="1F0E7A5E" w14:textId="77777777" w:rsidTr="001F699F">
      <w:trPr>
        <w:trHeight w:val="370"/>
      </w:trPr>
      <w:tc>
        <w:tcPr>
          <w:tcW w:w="1702" w:type="dxa"/>
          <w:vMerge/>
        </w:tcPr>
        <w:p w14:paraId="15E7F895" w14:textId="77777777" w:rsidR="005A2458" w:rsidRPr="003F363A" w:rsidRDefault="005A2458" w:rsidP="005A2458">
          <w:pPr>
            <w:jc w:val="center"/>
            <w:rPr>
              <w:rFonts w:ascii="Times New Roman" w:eastAsia="Times New Roman" w:hAnsi="Times New Roman" w:cs="Times New Roman"/>
              <w:b/>
              <w:bCs/>
              <w:sz w:val="32"/>
              <w:szCs w:val="32"/>
              <w:lang w:eastAsia="tr-TR"/>
            </w:rPr>
          </w:pPr>
        </w:p>
      </w:tc>
      <w:tc>
        <w:tcPr>
          <w:tcW w:w="4327" w:type="dxa"/>
          <w:vMerge/>
        </w:tcPr>
        <w:p w14:paraId="7F383A93" w14:textId="77777777" w:rsidR="005A2458" w:rsidRPr="003F363A" w:rsidRDefault="005A2458" w:rsidP="005A2458">
          <w:pPr>
            <w:rPr>
              <w:rFonts w:ascii="Times New Roman" w:eastAsia="Times New Roman" w:hAnsi="Times New Roman" w:cs="Times New Roman"/>
              <w:lang w:eastAsia="tr-TR"/>
            </w:rPr>
          </w:pPr>
        </w:p>
      </w:tc>
      <w:tc>
        <w:tcPr>
          <w:tcW w:w="2159" w:type="dxa"/>
          <w:vAlign w:val="center"/>
        </w:tcPr>
        <w:p w14:paraId="2B2C206D"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eastAsia="Times New Roman" w:hAnsi="Times New Roman" w:cs="Times New Roman"/>
              <w:lang w:eastAsia="tr-TR"/>
            </w:rPr>
            <w:t>Toplam Sayfa Sayısı:</w:t>
          </w:r>
        </w:p>
      </w:tc>
      <w:tc>
        <w:tcPr>
          <w:tcW w:w="1526" w:type="dxa"/>
          <w:vAlign w:val="center"/>
        </w:tcPr>
        <w:p w14:paraId="56E4B55C" w14:textId="77777777" w:rsidR="005A2458" w:rsidRPr="005A2458" w:rsidRDefault="005A2458" w:rsidP="005A2458">
          <w:pPr>
            <w:rPr>
              <w:rFonts w:ascii="Times New Roman" w:eastAsia="Times New Roman" w:hAnsi="Times New Roman" w:cs="Times New Roman"/>
              <w:lang w:eastAsia="tr-TR"/>
            </w:rPr>
          </w:pPr>
          <w:r w:rsidRPr="005A2458">
            <w:rPr>
              <w:rFonts w:ascii="Times New Roman" w:hAnsi="Times New Roman" w:cs="Times New Roman"/>
            </w:rPr>
            <w:t>2</w:t>
          </w:r>
        </w:p>
      </w:tc>
    </w:tr>
  </w:tbl>
  <w:p w14:paraId="0285998A" w14:textId="77777777" w:rsidR="005A2458" w:rsidRDefault="005A245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93"/>
    <w:rsid w:val="0000046A"/>
    <w:rsid w:val="00003A7D"/>
    <w:rsid w:val="000A007D"/>
    <w:rsid w:val="00116369"/>
    <w:rsid w:val="001C0E23"/>
    <w:rsid w:val="00215838"/>
    <w:rsid w:val="002163F1"/>
    <w:rsid w:val="00271029"/>
    <w:rsid w:val="002D5915"/>
    <w:rsid w:val="00472DD3"/>
    <w:rsid w:val="005A2458"/>
    <w:rsid w:val="006254B2"/>
    <w:rsid w:val="00647330"/>
    <w:rsid w:val="00675FD5"/>
    <w:rsid w:val="00681124"/>
    <w:rsid w:val="006A581F"/>
    <w:rsid w:val="006D214C"/>
    <w:rsid w:val="006F50DF"/>
    <w:rsid w:val="007044EC"/>
    <w:rsid w:val="00764F9F"/>
    <w:rsid w:val="0076614E"/>
    <w:rsid w:val="007A091A"/>
    <w:rsid w:val="00800BC5"/>
    <w:rsid w:val="008D118E"/>
    <w:rsid w:val="009875C7"/>
    <w:rsid w:val="00AA058A"/>
    <w:rsid w:val="00B32417"/>
    <w:rsid w:val="00B35C93"/>
    <w:rsid w:val="00B91F4C"/>
    <w:rsid w:val="00BB033F"/>
    <w:rsid w:val="00BC2C8B"/>
    <w:rsid w:val="00BD47D0"/>
    <w:rsid w:val="00BF40B9"/>
    <w:rsid w:val="00C03F7F"/>
    <w:rsid w:val="00C7637F"/>
    <w:rsid w:val="00CB013B"/>
    <w:rsid w:val="00CF75BC"/>
    <w:rsid w:val="00DD0D7B"/>
    <w:rsid w:val="00DE1356"/>
    <w:rsid w:val="00DE2183"/>
    <w:rsid w:val="00E008DA"/>
    <w:rsid w:val="00E51660"/>
    <w:rsid w:val="00E805DE"/>
    <w:rsid w:val="00EC2B61"/>
    <w:rsid w:val="00F55CA8"/>
    <w:rsid w:val="00F67A4A"/>
    <w:rsid w:val="00FF5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8DAE1"/>
  <w15:docId w15:val="{FDED4B79-2EA8-451B-AA4E-A5B7811F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F75BC"/>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EC2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E1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1356"/>
  </w:style>
  <w:style w:type="paragraph" w:styleId="AltBilgi">
    <w:name w:val="footer"/>
    <w:basedOn w:val="Normal"/>
    <w:link w:val="AltBilgiChar"/>
    <w:uiPriority w:val="99"/>
    <w:unhideWhenUsed/>
    <w:rsid w:val="00DE1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1356"/>
  </w:style>
  <w:style w:type="paragraph" w:styleId="BalonMetni">
    <w:name w:val="Balloon Text"/>
    <w:basedOn w:val="Normal"/>
    <w:link w:val="BalonMetniChar"/>
    <w:uiPriority w:val="99"/>
    <w:semiHidden/>
    <w:unhideWhenUsed/>
    <w:rsid w:val="000A00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007D"/>
    <w:rPr>
      <w:rFonts w:ascii="Tahoma" w:hAnsi="Tahoma" w:cs="Tahoma"/>
      <w:sz w:val="16"/>
      <w:szCs w:val="16"/>
    </w:rPr>
  </w:style>
  <w:style w:type="paragraph" w:styleId="GvdeMetni">
    <w:name w:val="Body Text"/>
    <w:basedOn w:val="Normal"/>
    <w:link w:val="GvdeMetniChar"/>
    <w:uiPriority w:val="1"/>
    <w:qFormat/>
    <w:rsid w:val="000A007D"/>
    <w:pPr>
      <w:widowControl w:val="0"/>
      <w:autoSpaceDE w:val="0"/>
      <w:autoSpaceDN w:val="0"/>
      <w:spacing w:after="0" w:line="240" w:lineRule="auto"/>
      <w:ind w:left="157"/>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0A007D"/>
    <w:rPr>
      <w:rFonts w:ascii="Times New Roman" w:eastAsia="Times New Roman" w:hAnsi="Times New Roman" w:cs="Times New Roman"/>
      <w:sz w:val="24"/>
      <w:szCs w:val="24"/>
      <w:lang w:eastAsia="tr-TR" w:bidi="tr-TR"/>
    </w:rPr>
  </w:style>
  <w:style w:type="character" w:styleId="Kpr">
    <w:name w:val="Hyperlink"/>
    <w:basedOn w:val="VarsaylanParagrafYazTipi"/>
    <w:uiPriority w:val="99"/>
    <w:unhideWhenUsed/>
    <w:rsid w:val="00DE2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2022-04-13T17:36:00Z</dcterms:created>
  <dcterms:modified xsi:type="dcterms:W3CDTF">2022-04-13T17:36:00Z</dcterms:modified>
</cp:coreProperties>
</file>