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384C3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84C3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84C3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Standart 2: </w:t>
            </w:r>
            <w:r w:rsidRPr="00384C35">
              <w:rPr>
                <w:sz w:val="24"/>
                <w:szCs w:val="24"/>
              </w:rPr>
              <w:t>Misyon, Organizasyon Yapısı ve Görevler</w:t>
            </w:r>
            <w:r w:rsidRPr="00384C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84C35" w:rsidRDefault="007106C8" w:rsidP="00C90F0A">
            <w:pPr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2.2. </w:t>
            </w:r>
            <w:r w:rsidRPr="00384C3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84C35">
              <w:rPr>
                <w:sz w:val="24"/>
                <w:szCs w:val="24"/>
              </w:rPr>
              <w:t>D</w:t>
            </w:r>
            <w:r w:rsidRPr="00384C35">
              <w:rPr>
                <w:sz w:val="24"/>
                <w:szCs w:val="24"/>
              </w:rPr>
              <w:t>uyurulmalıdır.</w:t>
            </w:r>
          </w:p>
        </w:tc>
      </w:tr>
      <w:tr w:rsidR="00881B5C" w:rsidRPr="00384C3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384C35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1817AD3" w:rsidR="00412572" w:rsidRPr="00384C35" w:rsidRDefault="00F55E8D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NABİLTEM Laboratuvar Müdürü</w:t>
            </w:r>
          </w:p>
        </w:tc>
      </w:tr>
      <w:tr w:rsidR="00881B5C" w:rsidRPr="00384C35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384C35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061CEFB" w:rsidR="00881B5C" w:rsidRPr="00F55E8D" w:rsidRDefault="00F55E8D" w:rsidP="00881B5C">
            <w:pPr>
              <w:rPr>
                <w:sz w:val="24"/>
                <w:szCs w:val="24"/>
              </w:rPr>
            </w:pPr>
            <w:r w:rsidRPr="00F55E8D">
              <w:rPr>
                <w:sz w:val="24"/>
                <w:szCs w:val="24"/>
              </w:rPr>
              <w:t>-</w:t>
            </w:r>
          </w:p>
        </w:tc>
      </w:tr>
      <w:tr w:rsidR="00124DA5" w:rsidRPr="00384C35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384C35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384C35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384C3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384C35" w14:paraId="4B7214EE" w14:textId="77777777" w:rsidTr="00403FE0">
        <w:trPr>
          <w:trHeight w:val="392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2F0D9A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F0D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2F0D9A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5967369" w14:textId="77777777" w:rsidR="00F55E8D" w:rsidRPr="002F0D9A" w:rsidRDefault="00F70488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E8D" w:rsidRPr="002F0D9A">
              <w:rPr>
                <w:rFonts w:ascii="Times New Roman" w:hAnsi="Times New Roman" w:cs="Times New Roman"/>
                <w:sz w:val="24"/>
                <w:szCs w:val="24"/>
              </w:rPr>
              <w:t>Kalite politikası doğrultusunda sunulan hizmetlerin en üst kalitede gerçekleşmesini sağlayacak altyapı, süreç ve sonuç odaklı yönetimsel tedbirleri alarak laboratuvar hizmetlerini sunmak.</w:t>
            </w:r>
          </w:p>
          <w:p w14:paraId="17D65066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Hizmet sunumunda ülke kanun ve yönetmeliklerinin, yasal gerekliliklerin ve TS EN ISO / IEC 17025 kalite yönetim sistemi şartlarının uygulanmasını sağlamak.</w:t>
            </w:r>
          </w:p>
          <w:p w14:paraId="13D716F3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Laboratuvarın politikaları doğrultusunda, laboratuvar hizmetlerinin düzenli yürümesini sağlamak amacıyla kurum içi tüm disiplinlerle iletişim halinde olmak.</w:t>
            </w:r>
          </w:p>
          <w:p w14:paraId="3D981D1A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Çalışma saatleri içerisinde eksiksiz koordinasyonu sağlamak ve hizmet bütünlüğü ve sürekliliğini tesis etmek.</w:t>
            </w:r>
          </w:p>
          <w:p w14:paraId="0FA14A76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Görev, yetki ve sorumlulukları çerçevesinde kalite politikası, hedefler, kurum politikaları ve onaylanmış stratejiler doğrultusunda laboratuvarın yönetilmesinden sorumludur.</w:t>
            </w:r>
          </w:p>
          <w:p w14:paraId="39B24671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Laboratuvarda yapılan işlerin kalitesini olumsuz yönde etkileyebilecek; bağımsızlığını, tarafsızlığını, karar alma ve çalışmalarındaki objektifliğini zedeleyebilecek, ticari, mali, idari hiçbir faaliyet içerisine girmeden, üzerinde oluşabilecek her türlü iç ve dış baskıya karşı koyarak ve gizliliği sağlayarak hizmet vermek.</w:t>
            </w:r>
          </w:p>
          <w:p w14:paraId="07453206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Üst makamlar tarafından verilen diğer görevleri yerine getirmek.</w:t>
            </w:r>
          </w:p>
          <w:p w14:paraId="049CC2E9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Saklamakla sorumlu olduğu kayıtları ulaşılabilir ve kullanılabilir bir şekilde muhafaza eder, kayıtlara ulaşabilecek kişilerle kısıtlı olacak şekilde kayıtları başkalarının erişimine açar, tanımlanmış saklama süresi bitiminde kayıtları imha eder.</w:t>
            </w:r>
          </w:p>
          <w:p w14:paraId="0CEE1700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Tetkiklerde denetçilere gerekli tüm bilgileri verir.</w:t>
            </w:r>
          </w:p>
          <w:p w14:paraId="24F510E0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Posta, kargo, özel/resmi kurye ile gelen numunelerin kabulünün yapılmasını sağlar.</w:t>
            </w:r>
          </w:p>
          <w:p w14:paraId="68952BDA" w14:textId="7477047A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Numunenin mühürünün kontrol edilmesini sağlar.</w:t>
            </w:r>
          </w:p>
          <w:p w14:paraId="3DC0392A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Numune kabulü için gerekli belgeleri tamamlatır.  </w:t>
            </w:r>
          </w:p>
          <w:p w14:paraId="125DDA79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Numune Kabul ret işlemlerini gerçekleştirmek.</w:t>
            </w:r>
          </w:p>
          <w:p w14:paraId="3593221C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Numune kabulü için talep formunu kontrol eder, imzalar.</w:t>
            </w:r>
          </w:p>
          <w:p w14:paraId="689050F4" w14:textId="4C124998" w:rsidR="00F55E8D" w:rsidRPr="00403FE0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403FE0">
              <w:rPr>
                <w:rFonts w:ascii="Times New Roman" w:hAnsi="Times New Roman" w:cs="Times New Roman"/>
              </w:rPr>
              <w:t>Numune sahibini gerektiğinde, laboratuvar çalışanlarıyla irtibat kurarak uygun yönlendirmeyi yapar.</w:t>
            </w:r>
          </w:p>
          <w:p w14:paraId="037E971B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Numunelerin numune kabul biriminden ilgili bölümlere güvenli bir şekilde iletilmesini sağlar.</w:t>
            </w:r>
          </w:p>
          <w:p w14:paraId="2A77A0F4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 xml:space="preserve">Numunelerin numune kabul formunun dosyalanmasını sağlar. </w:t>
            </w:r>
          </w:p>
          <w:p w14:paraId="4A6688AE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 xml:space="preserve">Resmi yazıları kuruma giriş yaptırır. </w:t>
            </w:r>
          </w:p>
          <w:p w14:paraId="5A966575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Ücretli analizler için numune sahibini bankaya yönlendirir.</w:t>
            </w:r>
          </w:p>
          <w:p w14:paraId="56BF2912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Eksik malzemelerin (numune kabı, steril kap) takibini yaparak ilgili birimlerden talep eder.</w:t>
            </w:r>
          </w:p>
          <w:p w14:paraId="7E978322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Firma bilgilerini gizlemek üzere numune etiketinin uygun bir şekilde kapatıldığını ve numune etiketin yapıştırıldığını kontrol eder.</w:t>
            </w:r>
          </w:p>
          <w:p w14:paraId="158EA943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 xml:space="preserve">Onaylanan raporları müşteriye kargo/posta veya mail ile iletir. </w:t>
            </w:r>
          </w:p>
          <w:p w14:paraId="1D003733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Resmi raporların faturalarını almak ve rapor ile beraber ilgili yere gönderilmesini veya elden teslim edilmesini sağlamak.</w:t>
            </w:r>
          </w:p>
          <w:p w14:paraId="2C525A6C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Laboratuvarda çalışılan analizlerin verilerini rapor formatına işlemek. Bölüm sorumlularının kontrol ve onayına sunmak.</w:t>
            </w:r>
          </w:p>
          <w:p w14:paraId="6E63B23B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Gönderilecek raporların posta işlemlerini hazırlamak.</w:t>
            </w:r>
          </w:p>
          <w:p w14:paraId="01B968D7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İstenirse rapor çıkış tarihi ile ilgili olarak müşterilere bilgi vermek.</w:t>
            </w:r>
          </w:p>
          <w:p w14:paraId="40F7A6B2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Raporların gizliliğini sağlamak.</w:t>
            </w:r>
          </w:p>
          <w:p w14:paraId="77C2C30B" w14:textId="77777777" w:rsidR="00F55E8D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Elden verilecek raporları imza karşılığında teslim etmek.</w:t>
            </w:r>
          </w:p>
          <w:p w14:paraId="3F2F54C7" w14:textId="05C17FAD" w:rsidR="00F70488" w:rsidRPr="002F0D9A" w:rsidRDefault="00F55E8D" w:rsidP="00F55E8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Uygun olmayan hizmetin düzeltilmesi ve uygunsuzluğun sebebini Laboratuvar Bölüm Sorumlularıyla, Kalite Yöneticisi ve diğer çalışanlarla beraber araştırmak ve başlatılan düzeltici faaliyetlere uymak.</w:t>
            </w:r>
          </w:p>
          <w:p w14:paraId="72BFDC76" w14:textId="15D41DA1" w:rsidR="00B96DD5" w:rsidRPr="002F0D9A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2F0D9A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2F0D9A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2F0D9A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2F0D9A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 w:rsidRPr="002F0D9A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2BEA06C4" w:rsidR="00557988" w:rsidRPr="002F0D9A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2F0D9A" w:rsidRPr="002F0D9A">
              <w:rPr>
                <w:rFonts w:ascii="Times New Roman" w:hAnsi="Times New Roman" w:cs="Times New Roman"/>
                <w:sz w:val="24"/>
                <w:szCs w:val="24"/>
              </w:rPr>
              <w:t xml:space="preserve">Merkez </w:t>
            </w:r>
            <w:r w:rsidR="000F5BB9" w:rsidRPr="002F0D9A">
              <w:rPr>
                <w:rFonts w:ascii="Times New Roman" w:hAnsi="Times New Roman" w:cs="Times New Roman"/>
                <w:sz w:val="24"/>
                <w:szCs w:val="24"/>
              </w:rPr>
              <w:t xml:space="preserve">Müdürü </w:t>
            </w: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yapmak, </w:t>
            </w:r>
          </w:p>
          <w:p w14:paraId="79D3BFCD" w14:textId="64C53BBC" w:rsidR="007106C8" w:rsidRPr="002F0D9A" w:rsidRDefault="002F0D9A" w:rsidP="002F0D9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 xml:space="preserve">NABİLTEM (Bilimsel ve Teknolojik Araştırmalar Uygulama ve Araştırma Merkezi) Numune Kabul ve Raporlama Personeli, </w:t>
            </w:r>
            <w:r w:rsidR="00246035" w:rsidRPr="002F0D9A">
              <w:rPr>
                <w:rFonts w:ascii="Times New Roman" w:hAnsi="Times New Roman" w:cs="Times New Roman"/>
                <w:sz w:val="24"/>
                <w:szCs w:val="24"/>
              </w:rPr>
              <w:t xml:space="preserve">çalışmalarının düzenli olarak yürütülmesinden, geliştirilmesinden ve çıkabilecek sorunların çözülmesinden, </w:t>
            </w:r>
            <w:r w:rsidR="00557988" w:rsidRPr="002F0D9A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</w:t>
            </w:r>
            <w:r w:rsidR="00731492" w:rsidRPr="002F0D9A">
              <w:rPr>
                <w:rFonts w:ascii="Times New Roman" w:hAnsi="Times New Roman" w:cs="Times New Roman"/>
                <w:sz w:val="24"/>
                <w:szCs w:val="24"/>
              </w:rPr>
              <w:t>irken</w:t>
            </w:r>
            <w:r w:rsidR="00557988" w:rsidRPr="002F0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D9A">
              <w:rPr>
                <w:rFonts w:ascii="Times New Roman" w:hAnsi="Times New Roman" w:cs="Times New Roman"/>
                <w:sz w:val="24"/>
                <w:szCs w:val="24"/>
              </w:rPr>
              <w:t xml:space="preserve">Merkez </w:t>
            </w:r>
            <w:r w:rsidR="000F5BB9" w:rsidRPr="002F0D9A">
              <w:rPr>
                <w:rFonts w:ascii="Times New Roman" w:hAnsi="Times New Roman" w:cs="Times New Roman"/>
                <w:sz w:val="24"/>
                <w:szCs w:val="24"/>
              </w:rPr>
              <w:t xml:space="preserve">Müdürüne </w:t>
            </w:r>
            <w:r w:rsidR="00557988" w:rsidRPr="002F0D9A">
              <w:rPr>
                <w:rFonts w:ascii="Times New Roman" w:hAnsi="Times New Roman" w:cs="Times New Roman"/>
                <w:sz w:val="24"/>
                <w:szCs w:val="24"/>
              </w:rPr>
              <w:t xml:space="preserve">karşı </w:t>
            </w:r>
            <w:r w:rsidR="00246035" w:rsidRPr="002F0D9A">
              <w:rPr>
                <w:rFonts w:ascii="Times New Roman" w:hAnsi="Times New Roman" w:cs="Times New Roman"/>
                <w:sz w:val="24"/>
                <w:szCs w:val="24"/>
              </w:rPr>
              <w:t xml:space="preserve">birinci derecede </w:t>
            </w:r>
            <w:r w:rsidR="00557988" w:rsidRPr="002F0D9A">
              <w:rPr>
                <w:rFonts w:ascii="Times New Roman" w:hAnsi="Times New Roman" w:cs="Times New Roman"/>
                <w:sz w:val="24"/>
                <w:szCs w:val="24"/>
              </w:rPr>
              <w:t>sorumludur.</w:t>
            </w:r>
          </w:p>
        </w:tc>
      </w:tr>
      <w:tr w:rsidR="00384C35" w:rsidRPr="00384C35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384C35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384C3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5E8D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384C35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 xml:space="preserve">-Kanunlar, resmi yazılar, yönetmelik </w:t>
            </w:r>
            <w:r>
              <w:rPr>
                <w:rFonts w:ascii="Times New Roman" w:hAnsi="Times New Roman" w:cs="Times New Roman"/>
              </w:rPr>
              <w:t>ve genelgeler,</w:t>
            </w:r>
          </w:p>
          <w:p w14:paraId="3CCF7AC2" w14:textId="20F79F44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384C35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009D9AD4" w14:textId="317D474B" w:rsidR="000F5BB9" w:rsidRDefault="000F5BB9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0F5BB9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TÜRKAK web sitesi, TNKÜ web sitesi, TÜBİTAK web sitesi, YÖKAK web sitesi</w:t>
            </w:r>
          </w:p>
          <w:p w14:paraId="6B5F20C4" w14:textId="2CB39666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384C35" w:rsidRDefault="00384C35" w:rsidP="00384C35">
            <w:pPr>
              <w:jc w:val="both"/>
              <w:rPr>
                <w:sz w:val="24"/>
                <w:szCs w:val="24"/>
              </w:rPr>
            </w:pPr>
            <w:r w:rsidRPr="00384C35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384C35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48BA2952" w:rsidR="00384C35" w:rsidRPr="00384C35" w:rsidRDefault="00CD6D01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Tüm iç ve dış paydaşlar</w:t>
            </w:r>
          </w:p>
        </w:tc>
      </w:tr>
      <w:tr w:rsidR="00384C35" w:rsidRPr="00384C35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84C35" w:rsidRPr="00384C35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1B850861" w:rsidR="00384C35" w:rsidRPr="00384C35" w:rsidRDefault="00BF1772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Odası </w:t>
            </w:r>
          </w:p>
        </w:tc>
      </w:tr>
      <w:tr w:rsidR="00384C35" w:rsidRPr="00384C35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84C3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206A" w14:textId="77777777" w:rsidR="00476F94" w:rsidRDefault="00476F94">
      <w:r>
        <w:separator/>
      </w:r>
    </w:p>
  </w:endnote>
  <w:endnote w:type="continuationSeparator" w:id="0">
    <w:p w14:paraId="42D537D0" w14:textId="77777777" w:rsidR="00476F94" w:rsidRDefault="0047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9A77" w14:textId="77777777" w:rsidR="00A92A65" w:rsidRDefault="00A92A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6B413E" w:rsidRPr="00016B0D" w14:paraId="216F96DB" w14:textId="77777777" w:rsidTr="006B413E">
      <w:trPr>
        <w:trHeight w:val="400"/>
        <w:jc w:val="center"/>
      </w:trPr>
      <w:tc>
        <w:tcPr>
          <w:tcW w:w="5211" w:type="dxa"/>
          <w:vAlign w:val="center"/>
        </w:tcPr>
        <w:p w14:paraId="1E95D29C" w14:textId="77777777" w:rsidR="006B413E" w:rsidRPr="00016B0D" w:rsidRDefault="006B413E" w:rsidP="006B413E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74BD68EF" w14:textId="77777777" w:rsidR="006B413E" w:rsidRPr="00016B0D" w:rsidRDefault="006B413E" w:rsidP="006B413E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6B413E" w:rsidRPr="00016B0D" w14:paraId="1E956EA4" w14:textId="77777777" w:rsidTr="006B413E">
      <w:trPr>
        <w:trHeight w:val="434"/>
        <w:jc w:val="center"/>
      </w:trPr>
      <w:tc>
        <w:tcPr>
          <w:tcW w:w="5211" w:type="dxa"/>
        </w:tcPr>
        <w:p w14:paraId="50FB171D" w14:textId="77777777" w:rsidR="006B413E" w:rsidRPr="00016B0D" w:rsidRDefault="006B413E" w:rsidP="006B413E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4BB29F48" w14:textId="77777777" w:rsidR="006B413E" w:rsidRPr="00016B0D" w:rsidRDefault="006B413E" w:rsidP="006B413E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6B2D" w14:textId="77777777" w:rsidR="00A92A65" w:rsidRDefault="00A92A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276F" w14:textId="77777777" w:rsidR="00476F94" w:rsidRDefault="00476F94">
      <w:r>
        <w:separator/>
      </w:r>
    </w:p>
  </w:footnote>
  <w:footnote w:type="continuationSeparator" w:id="0">
    <w:p w14:paraId="6734117F" w14:textId="77777777" w:rsidR="00476F94" w:rsidRDefault="00476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1E674F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A062EFC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2F0D9A">
            <w:rPr>
              <w:rFonts w:eastAsia="Calibri"/>
            </w:rPr>
            <w:t>378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FFAC2E8" w:rsidR="007106C8" w:rsidRPr="00465F78" w:rsidRDefault="002F0D9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09.11.2022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E4939A3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</w:t>
          </w:r>
          <w:r w:rsidR="00A92A65">
            <w:rPr>
              <w:rFonts w:eastAsia="Calibri"/>
            </w:rPr>
            <w:t>1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0DB528C" w:rsidR="007106C8" w:rsidRPr="00465F78" w:rsidRDefault="00A92A65" w:rsidP="007106C8">
          <w:pPr>
            <w:jc w:val="center"/>
            <w:rPr>
              <w:rFonts w:eastAsia="Calibri"/>
            </w:rPr>
          </w:pPr>
          <w:r w:rsidRPr="00242684">
            <w:rPr>
              <w:rFonts w:eastAsia="Calibri"/>
            </w:rPr>
            <w:t>11.11.2022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31A41FC" w14:textId="0737380D" w:rsidR="002F0D9A" w:rsidRPr="002F0D9A" w:rsidRDefault="00F55E8D" w:rsidP="002F0D9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NABİLTEM</w:t>
          </w:r>
          <w:r w:rsidR="002F0D9A">
            <w:t xml:space="preserve"> (</w:t>
          </w:r>
          <w:r w:rsidR="002F0D9A" w:rsidRPr="002F0D9A">
            <w:rPr>
              <w:rFonts w:ascii="Times New Roman" w:hAnsi="Times New Roman" w:cs="Times New Roman"/>
              <w:b/>
              <w:sz w:val="28"/>
              <w:szCs w:val="28"/>
            </w:rPr>
            <w:t xml:space="preserve">BİLİMSEL </w:t>
          </w:r>
          <w:r w:rsidR="002F0D9A">
            <w:rPr>
              <w:rFonts w:ascii="Times New Roman" w:hAnsi="Times New Roman" w:cs="Times New Roman"/>
              <w:b/>
              <w:sz w:val="28"/>
              <w:szCs w:val="28"/>
            </w:rPr>
            <w:t>ve</w:t>
          </w:r>
          <w:r w:rsidR="002F0D9A" w:rsidRPr="002F0D9A">
            <w:rPr>
              <w:rFonts w:ascii="Times New Roman" w:hAnsi="Times New Roman" w:cs="Times New Roman"/>
              <w:b/>
              <w:sz w:val="28"/>
              <w:szCs w:val="28"/>
            </w:rPr>
            <w:t xml:space="preserve"> TEKNOLOJİK ARAŞTIRMALAR </w:t>
          </w:r>
        </w:p>
        <w:p w14:paraId="7D3DE77D" w14:textId="77777777" w:rsidR="002F0D9A" w:rsidRDefault="002F0D9A" w:rsidP="002F0D9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F0D9A">
            <w:rPr>
              <w:rFonts w:ascii="Times New Roman" w:hAnsi="Times New Roman" w:cs="Times New Roman"/>
              <w:b/>
              <w:sz w:val="28"/>
              <w:szCs w:val="28"/>
            </w:rPr>
            <w:t>UYGULAMA ve ARAŞTIRMA MERKEZİ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</w:p>
        <w:p w14:paraId="100D1D9E" w14:textId="6F9A9B88" w:rsidR="00F55E8D" w:rsidRPr="00F55E8D" w:rsidRDefault="00F55E8D" w:rsidP="002F0D9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55E8D">
            <w:rPr>
              <w:rFonts w:ascii="Times New Roman" w:hAnsi="Times New Roman" w:cs="Times New Roman"/>
              <w:b/>
              <w:sz w:val="28"/>
              <w:szCs w:val="28"/>
            </w:rPr>
            <w:t xml:space="preserve">NUMUNE KABUL </w:t>
          </w:r>
          <w:r w:rsidR="002F0D9A">
            <w:rPr>
              <w:rFonts w:ascii="Times New Roman" w:hAnsi="Times New Roman" w:cs="Times New Roman"/>
              <w:b/>
              <w:sz w:val="28"/>
              <w:szCs w:val="28"/>
            </w:rPr>
            <w:t>ve</w:t>
          </w:r>
          <w:r w:rsidRPr="00F55E8D">
            <w:rPr>
              <w:rFonts w:ascii="Times New Roman" w:hAnsi="Times New Roman" w:cs="Times New Roman"/>
              <w:b/>
              <w:sz w:val="28"/>
              <w:szCs w:val="28"/>
            </w:rPr>
            <w:t xml:space="preserve"> RAPORLAMA PERSONELİ </w:t>
          </w:r>
        </w:p>
        <w:p w14:paraId="52A77080" w14:textId="7C34C8ED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79A4" w14:textId="77777777" w:rsidR="00A92A65" w:rsidRDefault="00A92A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0109">
    <w:abstractNumId w:val="4"/>
  </w:num>
  <w:num w:numId="2" w16cid:durableId="366955757">
    <w:abstractNumId w:val="3"/>
  </w:num>
  <w:num w:numId="3" w16cid:durableId="1369916688">
    <w:abstractNumId w:val="6"/>
  </w:num>
  <w:num w:numId="4" w16cid:durableId="1941058755">
    <w:abstractNumId w:val="5"/>
  </w:num>
  <w:num w:numId="5" w16cid:durableId="1575310052">
    <w:abstractNumId w:val="0"/>
  </w:num>
  <w:num w:numId="6" w16cid:durableId="2054695897">
    <w:abstractNumId w:val="1"/>
  </w:num>
  <w:num w:numId="7" w16cid:durableId="1303389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D6934"/>
    <w:rsid w:val="000F58C4"/>
    <w:rsid w:val="000F5BB9"/>
    <w:rsid w:val="001063F1"/>
    <w:rsid w:val="00124268"/>
    <w:rsid w:val="00124DA5"/>
    <w:rsid w:val="0017102E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2F0D9A"/>
    <w:rsid w:val="00300CA2"/>
    <w:rsid w:val="00334636"/>
    <w:rsid w:val="00373779"/>
    <w:rsid w:val="00384C35"/>
    <w:rsid w:val="003E7E69"/>
    <w:rsid w:val="00403FE0"/>
    <w:rsid w:val="00412572"/>
    <w:rsid w:val="0045201F"/>
    <w:rsid w:val="0045511C"/>
    <w:rsid w:val="00455F40"/>
    <w:rsid w:val="0045637D"/>
    <w:rsid w:val="00465F78"/>
    <w:rsid w:val="00476F94"/>
    <w:rsid w:val="004911F7"/>
    <w:rsid w:val="004949E0"/>
    <w:rsid w:val="004D4559"/>
    <w:rsid w:val="0052777A"/>
    <w:rsid w:val="00557988"/>
    <w:rsid w:val="0057092C"/>
    <w:rsid w:val="00596226"/>
    <w:rsid w:val="005F142A"/>
    <w:rsid w:val="00610508"/>
    <w:rsid w:val="00633F9D"/>
    <w:rsid w:val="006422D4"/>
    <w:rsid w:val="00646670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413E"/>
    <w:rsid w:val="006B59C2"/>
    <w:rsid w:val="006D4AA1"/>
    <w:rsid w:val="007106C8"/>
    <w:rsid w:val="00712F49"/>
    <w:rsid w:val="00715FBA"/>
    <w:rsid w:val="00726529"/>
    <w:rsid w:val="00731492"/>
    <w:rsid w:val="00750611"/>
    <w:rsid w:val="00784163"/>
    <w:rsid w:val="00805CAA"/>
    <w:rsid w:val="0081088C"/>
    <w:rsid w:val="00811CD8"/>
    <w:rsid w:val="008262C8"/>
    <w:rsid w:val="008710D7"/>
    <w:rsid w:val="00876F40"/>
    <w:rsid w:val="00881B5C"/>
    <w:rsid w:val="008A611D"/>
    <w:rsid w:val="008A71DC"/>
    <w:rsid w:val="008B0C64"/>
    <w:rsid w:val="008E2B6F"/>
    <w:rsid w:val="00972D33"/>
    <w:rsid w:val="00986997"/>
    <w:rsid w:val="00997E05"/>
    <w:rsid w:val="009C0198"/>
    <w:rsid w:val="009C2AD7"/>
    <w:rsid w:val="009D1BC3"/>
    <w:rsid w:val="009E425E"/>
    <w:rsid w:val="009E44E6"/>
    <w:rsid w:val="009E6FED"/>
    <w:rsid w:val="00A03F12"/>
    <w:rsid w:val="00A10E49"/>
    <w:rsid w:val="00A143F4"/>
    <w:rsid w:val="00A23185"/>
    <w:rsid w:val="00A40750"/>
    <w:rsid w:val="00A42701"/>
    <w:rsid w:val="00A52296"/>
    <w:rsid w:val="00A73284"/>
    <w:rsid w:val="00A92A65"/>
    <w:rsid w:val="00AA0D36"/>
    <w:rsid w:val="00AA250D"/>
    <w:rsid w:val="00AA323C"/>
    <w:rsid w:val="00AC3AC3"/>
    <w:rsid w:val="00AC7F2E"/>
    <w:rsid w:val="00B23AFE"/>
    <w:rsid w:val="00B96DD5"/>
    <w:rsid w:val="00BA6FCE"/>
    <w:rsid w:val="00BC6A26"/>
    <w:rsid w:val="00BD2A28"/>
    <w:rsid w:val="00BD63F5"/>
    <w:rsid w:val="00BF1772"/>
    <w:rsid w:val="00C04EFE"/>
    <w:rsid w:val="00C101F4"/>
    <w:rsid w:val="00C16C79"/>
    <w:rsid w:val="00C26465"/>
    <w:rsid w:val="00C32E94"/>
    <w:rsid w:val="00C475AE"/>
    <w:rsid w:val="00C90F0A"/>
    <w:rsid w:val="00C92F42"/>
    <w:rsid w:val="00CA5385"/>
    <w:rsid w:val="00CC206D"/>
    <w:rsid w:val="00CC6A5E"/>
    <w:rsid w:val="00CD6D01"/>
    <w:rsid w:val="00D145D1"/>
    <w:rsid w:val="00D174C4"/>
    <w:rsid w:val="00D30536"/>
    <w:rsid w:val="00D43B98"/>
    <w:rsid w:val="00D462AB"/>
    <w:rsid w:val="00D67B09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8622F"/>
    <w:rsid w:val="00EA3A79"/>
    <w:rsid w:val="00EB58CB"/>
    <w:rsid w:val="00EE7066"/>
    <w:rsid w:val="00F10AA1"/>
    <w:rsid w:val="00F55E8D"/>
    <w:rsid w:val="00F56176"/>
    <w:rsid w:val="00F70488"/>
    <w:rsid w:val="00F81306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12</cp:revision>
  <cp:lastPrinted>2021-04-27T10:03:00Z</cp:lastPrinted>
  <dcterms:created xsi:type="dcterms:W3CDTF">2022-11-08T11:50:00Z</dcterms:created>
  <dcterms:modified xsi:type="dcterms:W3CDTF">2022-11-11T07:44:00Z</dcterms:modified>
</cp:coreProperties>
</file>